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C9C56" w14:textId="2CCFE953" w:rsidR="00CF4362" w:rsidRPr="00CF4362" w:rsidRDefault="00CF4362" w:rsidP="00A95427">
      <w:pPr>
        <w:jc w:val="both"/>
        <w:rPr>
          <w:rFonts w:cs="Arial"/>
          <w:b/>
          <w:bCs/>
          <w:szCs w:val="20"/>
          <w:u w:val="single"/>
        </w:rPr>
      </w:pPr>
      <w:r>
        <w:rPr>
          <w:rFonts w:cs="Arial"/>
          <w:b/>
          <w:bCs/>
          <w:szCs w:val="20"/>
          <w:u w:val="single"/>
        </w:rPr>
        <w:t>Virtual Peer Exchange – Alternative Delivery (March 8, 2022)</w:t>
      </w:r>
    </w:p>
    <w:p w14:paraId="539C2329" w14:textId="173FF7A8" w:rsidR="005657B4" w:rsidRPr="00712EFA" w:rsidRDefault="00D15638" w:rsidP="00A95427">
      <w:pPr>
        <w:jc w:val="both"/>
        <w:rPr>
          <w:rFonts w:cs="Arial"/>
          <w:szCs w:val="20"/>
        </w:rPr>
      </w:pPr>
      <w:r w:rsidRPr="00712EFA">
        <w:rPr>
          <w:rFonts w:cs="Arial"/>
          <w:szCs w:val="20"/>
        </w:rPr>
        <w:t xml:space="preserve">On Tuesday, March </w:t>
      </w:r>
      <w:r w:rsidR="00DB0840" w:rsidRPr="00712EFA">
        <w:rPr>
          <w:rFonts w:cs="Arial"/>
          <w:szCs w:val="20"/>
        </w:rPr>
        <w:t>8, 2022,</w:t>
      </w:r>
      <w:r w:rsidRPr="00712EFA">
        <w:rPr>
          <w:rFonts w:cs="Arial"/>
          <w:szCs w:val="20"/>
        </w:rPr>
        <w:t xml:space="preserve"> AASHTO hosted the Alternative Delivery and NEPA Process Virtual Peer Review Exchange (VPE). The VPE brought together three state </w:t>
      </w:r>
      <w:r w:rsidR="00A95427">
        <w:rPr>
          <w:rFonts w:cs="Arial"/>
          <w:szCs w:val="20"/>
        </w:rPr>
        <w:t>Departments of Transportation</w:t>
      </w:r>
      <w:r w:rsidRPr="00712EFA">
        <w:rPr>
          <w:rFonts w:cs="Arial"/>
          <w:szCs w:val="20"/>
        </w:rPr>
        <w:t xml:space="preserve"> (DOTs) that shared their views and experience using alternative project delivery (AD) and the NEPA clearance processes associated with  AD. The session began with opening remarks from Melissa Savage</w:t>
      </w:r>
      <w:r w:rsidR="00DB0840" w:rsidRPr="00712EFA">
        <w:rPr>
          <w:rFonts w:cs="Arial"/>
          <w:szCs w:val="20"/>
        </w:rPr>
        <w:t>, Director of Environment Programs</w:t>
      </w:r>
      <w:r w:rsidRPr="00712EFA">
        <w:rPr>
          <w:rFonts w:cs="Arial"/>
          <w:szCs w:val="20"/>
        </w:rPr>
        <w:t xml:space="preserve"> </w:t>
      </w:r>
      <w:r w:rsidR="00DB0840" w:rsidRPr="00712EFA">
        <w:rPr>
          <w:rFonts w:cs="Arial"/>
          <w:szCs w:val="20"/>
        </w:rPr>
        <w:t xml:space="preserve">at </w:t>
      </w:r>
      <w:r w:rsidRPr="00712EFA">
        <w:rPr>
          <w:rFonts w:cs="Arial"/>
          <w:szCs w:val="20"/>
        </w:rPr>
        <w:t>AASHTO and James Gavin</w:t>
      </w:r>
      <w:r w:rsidR="00DB0840" w:rsidRPr="00712EFA">
        <w:rPr>
          <w:rFonts w:cs="Arial"/>
          <w:szCs w:val="20"/>
        </w:rPr>
        <w:t>, FHWA Program and Policy Development Team Leader.</w:t>
      </w:r>
      <w:r w:rsidRPr="00712EFA">
        <w:rPr>
          <w:rFonts w:cs="Arial"/>
          <w:szCs w:val="20"/>
        </w:rPr>
        <w:t xml:space="preserve"> The three state DOTs and representatives included:</w:t>
      </w:r>
    </w:p>
    <w:p w14:paraId="66AE04A4" w14:textId="2287DCE8" w:rsidR="00DB0840" w:rsidRPr="00712EFA" w:rsidRDefault="00DB0840" w:rsidP="00A95427">
      <w:pPr>
        <w:pStyle w:val="ListParagraph"/>
        <w:numPr>
          <w:ilvl w:val="0"/>
          <w:numId w:val="13"/>
        </w:numPr>
        <w:spacing w:line="252" w:lineRule="auto"/>
        <w:jc w:val="both"/>
        <w:rPr>
          <w:rFonts w:cs="Arial"/>
          <w:szCs w:val="20"/>
        </w:rPr>
      </w:pPr>
      <w:r w:rsidRPr="00712EFA">
        <w:rPr>
          <w:rFonts w:cs="Arial"/>
          <w:szCs w:val="20"/>
        </w:rPr>
        <w:t>Pennsylvania DOT (PennDOT)</w:t>
      </w:r>
    </w:p>
    <w:p w14:paraId="3CF4E46A" w14:textId="77777777" w:rsidR="00DB0840" w:rsidRPr="00712EFA" w:rsidRDefault="00DB0840" w:rsidP="00A95427">
      <w:pPr>
        <w:pStyle w:val="ListParagraph"/>
        <w:numPr>
          <w:ilvl w:val="1"/>
          <w:numId w:val="13"/>
        </w:numPr>
        <w:spacing w:after="0" w:line="240" w:lineRule="auto"/>
        <w:jc w:val="both"/>
        <w:rPr>
          <w:rFonts w:cs="Arial"/>
          <w:szCs w:val="20"/>
        </w:rPr>
      </w:pPr>
      <w:r w:rsidRPr="00712EFA">
        <w:rPr>
          <w:rFonts w:cs="Arial"/>
          <w:szCs w:val="20"/>
        </w:rPr>
        <w:t xml:space="preserve">Mark Lombard – Section Chief, Environmental Staff </w:t>
      </w:r>
    </w:p>
    <w:p w14:paraId="19EB925F" w14:textId="30F8A009" w:rsidR="00DB0840" w:rsidRPr="00712EFA" w:rsidRDefault="00DB0840" w:rsidP="00A95427">
      <w:pPr>
        <w:pStyle w:val="ListParagraph"/>
        <w:numPr>
          <w:ilvl w:val="1"/>
          <w:numId w:val="13"/>
        </w:numPr>
        <w:spacing w:after="0" w:line="240" w:lineRule="auto"/>
        <w:jc w:val="both"/>
        <w:rPr>
          <w:rFonts w:cs="Arial"/>
          <w:szCs w:val="20"/>
        </w:rPr>
      </w:pPr>
      <w:r w:rsidRPr="00712EFA">
        <w:rPr>
          <w:rFonts w:cs="Arial"/>
          <w:szCs w:val="20"/>
        </w:rPr>
        <w:t xml:space="preserve">Gary Kleist – Project Manager/Section Chief </w:t>
      </w:r>
    </w:p>
    <w:p w14:paraId="4D2050B6" w14:textId="77777777" w:rsidR="00DB0840" w:rsidRPr="00712EFA" w:rsidRDefault="00DB0840" w:rsidP="00A95427">
      <w:pPr>
        <w:pStyle w:val="ListParagraph"/>
        <w:spacing w:after="0" w:line="240" w:lineRule="auto"/>
        <w:ind w:left="1440"/>
        <w:jc w:val="both"/>
        <w:rPr>
          <w:rFonts w:cs="Arial"/>
          <w:szCs w:val="20"/>
        </w:rPr>
      </w:pPr>
    </w:p>
    <w:p w14:paraId="2A2EC2CD" w14:textId="004D4FBC" w:rsidR="00DB0840" w:rsidRPr="00712EFA" w:rsidRDefault="00DB0840" w:rsidP="00A95427">
      <w:pPr>
        <w:pStyle w:val="ListParagraph"/>
        <w:numPr>
          <w:ilvl w:val="0"/>
          <w:numId w:val="13"/>
        </w:numPr>
        <w:spacing w:line="252" w:lineRule="auto"/>
        <w:jc w:val="both"/>
        <w:rPr>
          <w:rFonts w:cs="Arial"/>
          <w:szCs w:val="20"/>
        </w:rPr>
      </w:pPr>
      <w:r w:rsidRPr="00712EFA">
        <w:rPr>
          <w:rFonts w:cs="Arial"/>
          <w:szCs w:val="20"/>
        </w:rPr>
        <w:t xml:space="preserve">Minnesota DOT (MnDOT) </w:t>
      </w:r>
    </w:p>
    <w:p w14:paraId="5EF40AD0" w14:textId="4A5404B2" w:rsidR="00DB0840" w:rsidRPr="00712EFA" w:rsidRDefault="00DB0840" w:rsidP="00A95427">
      <w:pPr>
        <w:pStyle w:val="ListParagraph"/>
        <w:numPr>
          <w:ilvl w:val="1"/>
          <w:numId w:val="13"/>
        </w:numPr>
        <w:spacing w:line="252" w:lineRule="auto"/>
        <w:jc w:val="both"/>
        <w:rPr>
          <w:rFonts w:cs="Arial"/>
          <w:szCs w:val="20"/>
        </w:rPr>
      </w:pPr>
      <w:r w:rsidRPr="00712EFA">
        <w:rPr>
          <w:rFonts w:cs="Arial"/>
          <w:szCs w:val="20"/>
        </w:rPr>
        <w:t xml:space="preserve">Peter Davich – Design Build Program Manager </w:t>
      </w:r>
    </w:p>
    <w:p w14:paraId="08D02488" w14:textId="77777777" w:rsidR="00DB0840" w:rsidRPr="00712EFA" w:rsidRDefault="00DB0840" w:rsidP="00A95427">
      <w:pPr>
        <w:pStyle w:val="ListParagraph"/>
        <w:spacing w:line="252" w:lineRule="auto"/>
        <w:ind w:left="1440"/>
        <w:jc w:val="both"/>
        <w:rPr>
          <w:rFonts w:cs="Arial"/>
          <w:szCs w:val="20"/>
        </w:rPr>
      </w:pPr>
    </w:p>
    <w:p w14:paraId="32B901E0" w14:textId="16D57B3B" w:rsidR="00DB0840" w:rsidRPr="00712EFA" w:rsidRDefault="00DB0840" w:rsidP="00A95427">
      <w:pPr>
        <w:pStyle w:val="ListParagraph"/>
        <w:numPr>
          <w:ilvl w:val="0"/>
          <w:numId w:val="13"/>
        </w:numPr>
        <w:spacing w:line="252" w:lineRule="auto"/>
        <w:jc w:val="both"/>
        <w:rPr>
          <w:rFonts w:cs="Arial"/>
          <w:szCs w:val="20"/>
          <w:u w:val="single"/>
        </w:rPr>
      </w:pPr>
      <w:r w:rsidRPr="00712EFA">
        <w:rPr>
          <w:rFonts w:cs="Arial"/>
          <w:szCs w:val="20"/>
        </w:rPr>
        <w:t xml:space="preserve">Utah DOT (UDOT) </w:t>
      </w:r>
    </w:p>
    <w:p w14:paraId="7E89B51B" w14:textId="636A9F61" w:rsidR="00DB0840" w:rsidRPr="00712EFA" w:rsidRDefault="00DB0840" w:rsidP="00A95427">
      <w:pPr>
        <w:pStyle w:val="ListParagraph"/>
        <w:numPr>
          <w:ilvl w:val="1"/>
          <w:numId w:val="13"/>
        </w:numPr>
        <w:spacing w:line="252" w:lineRule="auto"/>
        <w:jc w:val="both"/>
        <w:rPr>
          <w:rFonts w:cs="Arial"/>
          <w:szCs w:val="20"/>
          <w:u w:val="single"/>
        </w:rPr>
      </w:pPr>
      <w:r w:rsidRPr="00712EFA">
        <w:rPr>
          <w:rFonts w:cs="Arial"/>
          <w:szCs w:val="20"/>
        </w:rPr>
        <w:t>Phil Ellsworth – UDOT Consultant Services Division</w:t>
      </w:r>
    </w:p>
    <w:p w14:paraId="03F5B8A2" w14:textId="0B9BA9DE" w:rsidR="00DB0840" w:rsidRPr="00712EFA" w:rsidRDefault="00DB0840" w:rsidP="00A95427">
      <w:pPr>
        <w:pStyle w:val="ListParagraph"/>
        <w:numPr>
          <w:ilvl w:val="1"/>
          <w:numId w:val="13"/>
        </w:numPr>
        <w:spacing w:line="252" w:lineRule="auto"/>
        <w:jc w:val="both"/>
        <w:rPr>
          <w:rFonts w:cs="Arial"/>
          <w:szCs w:val="20"/>
          <w:u w:val="single"/>
        </w:rPr>
      </w:pPr>
      <w:r w:rsidRPr="00712EFA">
        <w:rPr>
          <w:rFonts w:cs="Arial"/>
          <w:szCs w:val="20"/>
        </w:rPr>
        <w:t>Brandon Weston – UDOT Director of Environmental Services</w:t>
      </w:r>
    </w:p>
    <w:p w14:paraId="3DBC474E" w14:textId="15BD533C" w:rsidR="008248E5" w:rsidRPr="00712EFA" w:rsidRDefault="00D503A8" w:rsidP="00A95427">
      <w:pPr>
        <w:jc w:val="both"/>
        <w:rPr>
          <w:rFonts w:cs="Arial"/>
          <w:b/>
          <w:bCs/>
          <w:szCs w:val="20"/>
          <w:u w:val="single"/>
        </w:rPr>
      </w:pPr>
      <w:r>
        <w:rPr>
          <w:rFonts w:cs="Arial"/>
          <w:b/>
          <w:bCs/>
          <w:szCs w:val="20"/>
          <w:u w:val="single"/>
        </w:rPr>
        <w:t xml:space="preserve">FHWA - </w:t>
      </w:r>
      <w:r w:rsidR="009E6AEE" w:rsidRPr="00712EFA">
        <w:rPr>
          <w:rFonts w:cs="Arial"/>
          <w:b/>
          <w:bCs/>
          <w:szCs w:val="20"/>
          <w:u w:val="single"/>
        </w:rPr>
        <w:t>James Gavin</w:t>
      </w:r>
      <w:r w:rsidR="008248E5" w:rsidRPr="00712EFA">
        <w:rPr>
          <w:rFonts w:cs="Arial"/>
          <w:b/>
          <w:bCs/>
          <w:szCs w:val="20"/>
          <w:u w:val="single"/>
        </w:rPr>
        <w:t xml:space="preserve"> </w:t>
      </w:r>
    </w:p>
    <w:p w14:paraId="7DC8DA26" w14:textId="2866CB49" w:rsidR="00295C79" w:rsidRPr="00712EFA" w:rsidRDefault="008248E5" w:rsidP="00A95427">
      <w:pPr>
        <w:jc w:val="both"/>
        <w:rPr>
          <w:rFonts w:cs="Arial"/>
          <w:szCs w:val="20"/>
        </w:rPr>
      </w:pPr>
      <w:r w:rsidRPr="00712EFA">
        <w:rPr>
          <w:rFonts w:cs="Arial"/>
          <w:szCs w:val="20"/>
        </w:rPr>
        <w:t>FHWA is a s</w:t>
      </w:r>
      <w:r w:rsidR="009E6AEE" w:rsidRPr="00712EFA">
        <w:rPr>
          <w:rFonts w:cs="Arial"/>
          <w:szCs w:val="20"/>
        </w:rPr>
        <w:t xml:space="preserve">upporter of </w:t>
      </w:r>
      <w:r w:rsidR="00A7519D" w:rsidRPr="00712EFA">
        <w:rPr>
          <w:rFonts w:cs="Arial"/>
          <w:szCs w:val="20"/>
        </w:rPr>
        <w:t>AD but note</w:t>
      </w:r>
      <w:r w:rsidR="00A27591" w:rsidRPr="00712EFA">
        <w:rPr>
          <w:rFonts w:cs="Arial"/>
          <w:szCs w:val="20"/>
        </w:rPr>
        <w:t>s</w:t>
      </w:r>
      <w:r w:rsidR="00A7519D" w:rsidRPr="00712EFA">
        <w:rPr>
          <w:rFonts w:cs="Arial"/>
          <w:szCs w:val="20"/>
        </w:rPr>
        <w:t xml:space="preserve"> not every project is suited to use AD methods</w:t>
      </w:r>
      <w:r w:rsidR="00273F67" w:rsidRPr="00712EFA">
        <w:rPr>
          <w:rFonts w:cs="Arial"/>
          <w:szCs w:val="20"/>
        </w:rPr>
        <w:t>.</w:t>
      </w:r>
      <w:r w:rsidR="00295C79" w:rsidRPr="00712EFA">
        <w:rPr>
          <w:rFonts w:cs="Arial"/>
          <w:szCs w:val="20"/>
        </w:rPr>
        <w:t xml:space="preserve"> </w:t>
      </w:r>
      <w:r w:rsidR="00556013" w:rsidRPr="00712EFA">
        <w:rPr>
          <w:rFonts w:cs="Arial"/>
          <w:szCs w:val="20"/>
        </w:rPr>
        <w:t xml:space="preserve">AASHTO and FHWA are working together on what goes </w:t>
      </w:r>
      <w:r w:rsidR="009E6AEE" w:rsidRPr="00712EFA">
        <w:rPr>
          <w:rFonts w:cs="Arial"/>
          <w:szCs w:val="20"/>
        </w:rPr>
        <w:t xml:space="preserve">into </w:t>
      </w:r>
      <w:r w:rsidR="00405077">
        <w:rPr>
          <w:rFonts w:cs="Arial"/>
          <w:szCs w:val="20"/>
        </w:rPr>
        <w:t>AD</w:t>
      </w:r>
      <w:r w:rsidR="001B65D1">
        <w:rPr>
          <w:rFonts w:cs="Arial"/>
          <w:szCs w:val="20"/>
        </w:rPr>
        <w:t>;</w:t>
      </w:r>
      <w:r w:rsidR="009E6AEE" w:rsidRPr="00712EFA">
        <w:rPr>
          <w:rFonts w:cs="Arial"/>
          <w:szCs w:val="20"/>
        </w:rPr>
        <w:t xml:space="preserve"> </w:t>
      </w:r>
      <w:r w:rsidR="00556013" w:rsidRPr="00712EFA">
        <w:rPr>
          <w:rFonts w:cs="Arial"/>
          <w:szCs w:val="20"/>
        </w:rPr>
        <w:t xml:space="preserve">most notably, </w:t>
      </w:r>
      <w:r w:rsidR="009E6AEE" w:rsidRPr="00712EFA">
        <w:rPr>
          <w:rFonts w:cs="Arial"/>
          <w:szCs w:val="20"/>
        </w:rPr>
        <w:t xml:space="preserve">what </w:t>
      </w:r>
      <w:r w:rsidR="00556013" w:rsidRPr="00712EFA">
        <w:rPr>
          <w:rFonts w:cs="Arial"/>
          <w:szCs w:val="20"/>
        </w:rPr>
        <w:t xml:space="preserve">AD methods are </w:t>
      </w:r>
      <w:r w:rsidR="009E6AEE" w:rsidRPr="00712EFA">
        <w:rPr>
          <w:rFonts w:cs="Arial"/>
          <w:szCs w:val="20"/>
        </w:rPr>
        <w:t xml:space="preserve">available </w:t>
      </w:r>
      <w:r w:rsidR="001B65D1">
        <w:rPr>
          <w:rFonts w:cs="Arial"/>
          <w:szCs w:val="20"/>
        </w:rPr>
        <w:t xml:space="preserve">for states </w:t>
      </w:r>
      <w:r w:rsidR="009E6AEE" w:rsidRPr="00712EFA">
        <w:rPr>
          <w:rFonts w:cs="Arial"/>
          <w:szCs w:val="20"/>
        </w:rPr>
        <w:t>to us</w:t>
      </w:r>
      <w:r w:rsidR="001B65D1">
        <w:rPr>
          <w:rFonts w:cs="Arial"/>
          <w:szCs w:val="20"/>
        </w:rPr>
        <w:t>e</w:t>
      </w:r>
      <w:r w:rsidR="009E6AEE" w:rsidRPr="00712EFA">
        <w:rPr>
          <w:rFonts w:cs="Arial"/>
          <w:szCs w:val="20"/>
        </w:rPr>
        <w:t xml:space="preserve">, what </w:t>
      </w:r>
      <w:r w:rsidR="00556013" w:rsidRPr="00712EFA">
        <w:rPr>
          <w:rFonts w:cs="Arial"/>
          <w:szCs w:val="20"/>
        </w:rPr>
        <w:t xml:space="preserve">can FHWA do to ensure </w:t>
      </w:r>
      <w:r w:rsidR="009E6AEE" w:rsidRPr="00712EFA">
        <w:rPr>
          <w:rFonts w:cs="Arial"/>
          <w:szCs w:val="20"/>
        </w:rPr>
        <w:t>equity is</w:t>
      </w:r>
      <w:r w:rsidR="00BD346D">
        <w:rPr>
          <w:rFonts w:cs="Arial"/>
          <w:szCs w:val="20"/>
        </w:rPr>
        <w:t xml:space="preserve"> considered,</w:t>
      </w:r>
      <w:r w:rsidR="00556013" w:rsidRPr="00712EFA">
        <w:rPr>
          <w:rFonts w:cs="Arial"/>
          <w:szCs w:val="20"/>
        </w:rPr>
        <w:t xml:space="preserve"> and</w:t>
      </w:r>
      <w:r w:rsidR="00BD346D">
        <w:rPr>
          <w:rFonts w:cs="Arial"/>
          <w:szCs w:val="20"/>
        </w:rPr>
        <w:t xml:space="preserve"> how to</w:t>
      </w:r>
      <w:r w:rsidR="00556013" w:rsidRPr="00712EFA">
        <w:rPr>
          <w:rFonts w:cs="Arial"/>
          <w:szCs w:val="20"/>
        </w:rPr>
        <w:t xml:space="preserve"> embrace AD</w:t>
      </w:r>
      <w:r w:rsidR="009E6AEE" w:rsidRPr="00712EFA">
        <w:rPr>
          <w:rFonts w:cs="Arial"/>
          <w:szCs w:val="20"/>
        </w:rPr>
        <w:t xml:space="preserve"> in a way </w:t>
      </w:r>
      <w:r w:rsidR="00A27591" w:rsidRPr="00712EFA">
        <w:rPr>
          <w:rFonts w:cs="Arial"/>
          <w:szCs w:val="20"/>
        </w:rPr>
        <w:t xml:space="preserve">that </w:t>
      </w:r>
      <w:r w:rsidR="00BD346D">
        <w:rPr>
          <w:rFonts w:cs="Arial"/>
          <w:szCs w:val="20"/>
        </w:rPr>
        <w:t>ensures</w:t>
      </w:r>
      <w:r w:rsidR="009E6AEE" w:rsidRPr="00712EFA">
        <w:rPr>
          <w:rFonts w:cs="Arial"/>
          <w:szCs w:val="20"/>
        </w:rPr>
        <w:t xml:space="preserve"> env</w:t>
      </w:r>
      <w:r w:rsidR="00556013" w:rsidRPr="00712EFA">
        <w:rPr>
          <w:rFonts w:cs="Arial"/>
          <w:szCs w:val="20"/>
        </w:rPr>
        <w:t>ironmental s</w:t>
      </w:r>
      <w:r w:rsidR="009E6AEE" w:rsidRPr="00712EFA">
        <w:rPr>
          <w:rFonts w:cs="Arial"/>
          <w:szCs w:val="20"/>
        </w:rPr>
        <w:t xml:space="preserve">tewardship and proper </w:t>
      </w:r>
      <w:r w:rsidR="00CF44C5">
        <w:rPr>
          <w:rFonts w:cs="Arial"/>
          <w:szCs w:val="20"/>
        </w:rPr>
        <w:t xml:space="preserve">environmental </w:t>
      </w:r>
      <w:r w:rsidR="009E6AEE" w:rsidRPr="00712EFA">
        <w:rPr>
          <w:rFonts w:cs="Arial"/>
          <w:szCs w:val="20"/>
        </w:rPr>
        <w:t>review of projects</w:t>
      </w:r>
      <w:r w:rsidR="00295C79" w:rsidRPr="00712EFA">
        <w:rPr>
          <w:rFonts w:cs="Arial"/>
          <w:szCs w:val="20"/>
        </w:rPr>
        <w:t xml:space="preserve">. </w:t>
      </w:r>
    </w:p>
    <w:p w14:paraId="62FC8EE9" w14:textId="38DD66B1" w:rsidR="00295C79" w:rsidRPr="00712EFA" w:rsidRDefault="009E6AEE" w:rsidP="00A95427">
      <w:pPr>
        <w:jc w:val="both"/>
        <w:rPr>
          <w:rFonts w:cs="Arial"/>
          <w:szCs w:val="20"/>
        </w:rPr>
      </w:pPr>
      <w:r w:rsidRPr="00712EFA">
        <w:rPr>
          <w:rFonts w:cs="Arial"/>
          <w:szCs w:val="20"/>
        </w:rPr>
        <w:t>AD is appropriate for certain projects</w:t>
      </w:r>
      <w:r w:rsidR="002B64BE">
        <w:rPr>
          <w:rFonts w:cs="Arial"/>
          <w:szCs w:val="20"/>
        </w:rPr>
        <w:t xml:space="preserve"> with unique challenges</w:t>
      </w:r>
      <w:r w:rsidRPr="00712EFA">
        <w:rPr>
          <w:rFonts w:cs="Arial"/>
          <w:szCs w:val="20"/>
        </w:rPr>
        <w:t xml:space="preserve"> and </w:t>
      </w:r>
      <w:r w:rsidR="00A27591" w:rsidRPr="00712EFA">
        <w:rPr>
          <w:rFonts w:cs="Arial"/>
          <w:szCs w:val="20"/>
        </w:rPr>
        <w:t xml:space="preserve">can </w:t>
      </w:r>
      <w:r w:rsidRPr="00712EFA">
        <w:rPr>
          <w:rFonts w:cs="Arial"/>
          <w:szCs w:val="20"/>
        </w:rPr>
        <w:t xml:space="preserve">address certain aspects of </w:t>
      </w:r>
      <w:r w:rsidR="00A27591" w:rsidRPr="00712EFA">
        <w:rPr>
          <w:rFonts w:cs="Arial"/>
          <w:szCs w:val="20"/>
        </w:rPr>
        <w:t>funding</w:t>
      </w:r>
      <w:r w:rsidRPr="00712EFA">
        <w:rPr>
          <w:rFonts w:cs="Arial"/>
          <w:szCs w:val="20"/>
        </w:rPr>
        <w:t xml:space="preserve"> otherwise not available from </w:t>
      </w:r>
      <w:r w:rsidR="002B64BE">
        <w:rPr>
          <w:rFonts w:cs="Arial"/>
          <w:szCs w:val="20"/>
        </w:rPr>
        <w:t>traditional</w:t>
      </w:r>
      <w:r w:rsidRPr="00712EFA">
        <w:rPr>
          <w:rFonts w:cs="Arial"/>
          <w:szCs w:val="20"/>
        </w:rPr>
        <w:t xml:space="preserve"> delivery model</w:t>
      </w:r>
      <w:r w:rsidR="00A27591" w:rsidRPr="00712EFA">
        <w:rPr>
          <w:rFonts w:cs="Arial"/>
          <w:szCs w:val="20"/>
        </w:rPr>
        <w:t>s.</w:t>
      </w:r>
      <w:r w:rsidR="00405077">
        <w:rPr>
          <w:rFonts w:cs="Arial"/>
          <w:szCs w:val="20"/>
        </w:rPr>
        <w:t xml:space="preserve"> </w:t>
      </w:r>
      <w:r w:rsidR="002B64BE">
        <w:rPr>
          <w:rFonts w:cs="Arial"/>
          <w:szCs w:val="20"/>
        </w:rPr>
        <w:t xml:space="preserve">FHWA has information </w:t>
      </w:r>
      <w:r w:rsidR="0066097C">
        <w:rPr>
          <w:rFonts w:cs="Arial"/>
          <w:szCs w:val="20"/>
        </w:rPr>
        <w:t xml:space="preserve">available about </w:t>
      </w:r>
      <w:r w:rsidR="00A27591" w:rsidRPr="00712EFA">
        <w:rPr>
          <w:rFonts w:cs="Arial"/>
          <w:szCs w:val="20"/>
        </w:rPr>
        <w:t xml:space="preserve">AD </w:t>
      </w:r>
      <w:r w:rsidRPr="00712EFA">
        <w:rPr>
          <w:rFonts w:cs="Arial"/>
          <w:szCs w:val="20"/>
        </w:rPr>
        <w:t xml:space="preserve">on </w:t>
      </w:r>
      <w:r w:rsidR="0066097C">
        <w:rPr>
          <w:rFonts w:cs="Arial"/>
          <w:szCs w:val="20"/>
        </w:rPr>
        <w:t xml:space="preserve">the </w:t>
      </w:r>
      <w:r w:rsidRPr="00712EFA">
        <w:rPr>
          <w:rFonts w:cs="Arial"/>
          <w:szCs w:val="20"/>
        </w:rPr>
        <w:t xml:space="preserve">FHWA website. </w:t>
      </w:r>
    </w:p>
    <w:p w14:paraId="7E0D8BD0" w14:textId="5F61DB68" w:rsidR="009E6AEE" w:rsidRPr="00712EFA" w:rsidRDefault="005B3782" w:rsidP="00A95427">
      <w:pPr>
        <w:jc w:val="both"/>
        <w:rPr>
          <w:rFonts w:cs="Arial"/>
          <w:szCs w:val="20"/>
        </w:rPr>
      </w:pPr>
      <w:r>
        <w:rPr>
          <w:rFonts w:cs="Arial"/>
          <w:szCs w:val="20"/>
        </w:rPr>
        <w:t xml:space="preserve">FHWA has </w:t>
      </w:r>
      <w:r w:rsidR="009E6AEE" w:rsidRPr="00712EFA">
        <w:rPr>
          <w:rFonts w:cs="Arial"/>
          <w:szCs w:val="20"/>
        </w:rPr>
        <w:t>embrace</w:t>
      </w:r>
      <w:r>
        <w:rPr>
          <w:rFonts w:cs="Arial"/>
          <w:szCs w:val="20"/>
        </w:rPr>
        <w:t>d</w:t>
      </w:r>
      <w:r w:rsidR="009E6AEE" w:rsidRPr="00712EFA">
        <w:rPr>
          <w:rFonts w:cs="Arial"/>
          <w:szCs w:val="20"/>
        </w:rPr>
        <w:t xml:space="preserve"> AD </w:t>
      </w:r>
      <w:r>
        <w:rPr>
          <w:rFonts w:cs="Arial"/>
          <w:szCs w:val="20"/>
        </w:rPr>
        <w:t>in recent years.</w:t>
      </w:r>
      <w:r w:rsidR="00405077">
        <w:rPr>
          <w:rFonts w:cs="Arial"/>
          <w:szCs w:val="20"/>
        </w:rPr>
        <w:t xml:space="preserve"> </w:t>
      </w:r>
      <w:r w:rsidR="00B13120">
        <w:rPr>
          <w:rFonts w:cs="Arial"/>
          <w:szCs w:val="20"/>
        </w:rPr>
        <w:t>U</w:t>
      </w:r>
      <w:r w:rsidR="009E6AEE" w:rsidRPr="00712EFA">
        <w:rPr>
          <w:rFonts w:cs="Arial"/>
          <w:szCs w:val="20"/>
        </w:rPr>
        <w:t xml:space="preserve">ntil </w:t>
      </w:r>
      <w:r w:rsidR="00A27591" w:rsidRPr="00712EFA">
        <w:rPr>
          <w:rFonts w:cs="Arial"/>
          <w:szCs w:val="20"/>
        </w:rPr>
        <w:t xml:space="preserve">funding </w:t>
      </w:r>
      <w:r w:rsidR="00273F67" w:rsidRPr="00712EFA">
        <w:rPr>
          <w:rFonts w:cs="Arial"/>
          <w:szCs w:val="20"/>
        </w:rPr>
        <w:t>mechanisms</w:t>
      </w:r>
      <w:r w:rsidR="009E6AEE" w:rsidRPr="00712EFA">
        <w:rPr>
          <w:rFonts w:cs="Arial"/>
          <w:szCs w:val="20"/>
        </w:rPr>
        <w:t xml:space="preserve"> </w:t>
      </w:r>
      <w:r w:rsidR="00A27591" w:rsidRPr="00712EFA">
        <w:rPr>
          <w:rFonts w:cs="Arial"/>
          <w:szCs w:val="20"/>
        </w:rPr>
        <w:t xml:space="preserve">other </w:t>
      </w:r>
      <w:r w:rsidR="009E6AEE" w:rsidRPr="00712EFA">
        <w:rPr>
          <w:rFonts w:cs="Arial"/>
          <w:szCs w:val="20"/>
        </w:rPr>
        <w:t xml:space="preserve">than </w:t>
      </w:r>
      <w:r w:rsidR="00A27591" w:rsidRPr="00712EFA">
        <w:rPr>
          <w:rFonts w:cs="Arial"/>
          <w:szCs w:val="20"/>
        </w:rPr>
        <w:t>the Highway Trust Fund</w:t>
      </w:r>
      <w:r w:rsidR="00B13120">
        <w:rPr>
          <w:rFonts w:cs="Arial"/>
          <w:szCs w:val="20"/>
        </w:rPr>
        <w:t xml:space="preserve"> are </w:t>
      </w:r>
      <w:r w:rsidR="00B70E8F">
        <w:rPr>
          <w:rFonts w:cs="Arial"/>
          <w:szCs w:val="20"/>
        </w:rPr>
        <w:t>found</w:t>
      </w:r>
      <w:r w:rsidR="009E6AEE" w:rsidRPr="00712EFA">
        <w:rPr>
          <w:rFonts w:cs="Arial"/>
          <w:szCs w:val="20"/>
        </w:rPr>
        <w:t xml:space="preserve">, </w:t>
      </w:r>
      <w:r w:rsidR="00B70E8F">
        <w:rPr>
          <w:rFonts w:cs="Arial"/>
          <w:szCs w:val="20"/>
        </w:rPr>
        <w:t>AD may be</w:t>
      </w:r>
      <w:r w:rsidR="00E424C6" w:rsidRPr="00712EFA">
        <w:rPr>
          <w:rFonts w:cs="Arial"/>
          <w:szCs w:val="20"/>
        </w:rPr>
        <w:t xml:space="preserve"> </w:t>
      </w:r>
      <w:r w:rsidR="009E6AEE" w:rsidRPr="00712EFA">
        <w:rPr>
          <w:rFonts w:cs="Arial"/>
          <w:szCs w:val="20"/>
        </w:rPr>
        <w:t xml:space="preserve">a means to deliver projects </w:t>
      </w:r>
      <w:r w:rsidR="00B70E8F">
        <w:rPr>
          <w:rFonts w:cs="Arial"/>
          <w:szCs w:val="20"/>
        </w:rPr>
        <w:t>that could not otherwise be done</w:t>
      </w:r>
      <w:r w:rsidR="00E424C6" w:rsidRPr="00712EFA">
        <w:rPr>
          <w:rFonts w:cs="Arial"/>
          <w:szCs w:val="20"/>
        </w:rPr>
        <w:t>.</w:t>
      </w:r>
      <w:r w:rsidR="009E6AEE" w:rsidRPr="00712EFA">
        <w:rPr>
          <w:rFonts w:cs="Arial"/>
          <w:szCs w:val="20"/>
        </w:rPr>
        <w:t xml:space="preserve"> </w:t>
      </w:r>
      <w:r w:rsidR="00E424C6" w:rsidRPr="00712EFA">
        <w:rPr>
          <w:rFonts w:cs="Arial"/>
          <w:szCs w:val="20"/>
        </w:rPr>
        <w:t>W</w:t>
      </w:r>
      <w:r w:rsidR="009E6AEE" w:rsidRPr="00712EFA">
        <w:rPr>
          <w:rFonts w:cs="Arial"/>
          <w:szCs w:val="20"/>
        </w:rPr>
        <w:t>ith state DOT partners</w:t>
      </w:r>
      <w:r w:rsidR="00E424C6" w:rsidRPr="00712EFA">
        <w:rPr>
          <w:rFonts w:cs="Arial"/>
          <w:szCs w:val="20"/>
        </w:rPr>
        <w:t>, these AD</w:t>
      </w:r>
      <w:r w:rsidR="009E6AEE" w:rsidRPr="00712EFA">
        <w:rPr>
          <w:rFonts w:cs="Arial"/>
          <w:szCs w:val="20"/>
        </w:rPr>
        <w:t xml:space="preserve"> techniques </w:t>
      </w:r>
      <w:r w:rsidR="00E424C6" w:rsidRPr="00712EFA">
        <w:rPr>
          <w:rFonts w:cs="Arial"/>
          <w:szCs w:val="20"/>
        </w:rPr>
        <w:t xml:space="preserve">could </w:t>
      </w:r>
      <w:r w:rsidR="009E6AEE" w:rsidRPr="00712EFA">
        <w:rPr>
          <w:rFonts w:cs="Arial"/>
          <w:szCs w:val="20"/>
        </w:rPr>
        <w:t xml:space="preserve">go a long way to fulfill </w:t>
      </w:r>
      <w:r w:rsidR="00C25752">
        <w:rPr>
          <w:rFonts w:cs="Arial"/>
          <w:szCs w:val="20"/>
        </w:rPr>
        <w:t>FHWA’s</w:t>
      </w:r>
      <w:r w:rsidR="009E6AEE" w:rsidRPr="00712EFA">
        <w:rPr>
          <w:rFonts w:cs="Arial"/>
          <w:szCs w:val="20"/>
        </w:rPr>
        <w:t xml:space="preserve"> mission</w:t>
      </w:r>
      <w:r w:rsidR="003639A1">
        <w:rPr>
          <w:rFonts w:cs="Arial"/>
          <w:szCs w:val="20"/>
        </w:rPr>
        <w:t>.</w:t>
      </w:r>
      <w:r w:rsidR="009E6AEE" w:rsidRPr="00712EFA">
        <w:rPr>
          <w:rFonts w:cs="Arial"/>
          <w:szCs w:val="20"/>
        </w:rPr>
        <w:t xml:space="preserve"> </w:t>
      </w:r>
    </w:p>
    <w:p w14:paraId="19F1D169" w14:textId="075DD1D8" w:rsidR="009E6AEE" w:rsidRPr="00712EFA" w:rsidRDefault="009E6AEE" w:rsidP="00A95427">
      <w:pPr>
        <w:jc w:val="both"/>
        <w:rPr>
          <w:rFonts w:cs="Arial"/>
          <w:b/>
          <w:bCs/>
          <w:szCs w:val="20"/>
          <w:u w:val="single"/>
        </w:rPr>
      </w:pPr>
      <w:r w:rsidRPr="00712EFA">
        <w:rPr>
          <w:rFonts w:cs="Arial"/>
          <w:b/>
          <w:bCs/>
          <w:szCs w:val="20"/>
          <w:u w:val="single"/>
        </w:rPr>
        <w:t>PennDOT</w:t>
      </w:r>
      <w:r w:rsidR="00924FA0" w:rsidRPr="00712EFA">
        <w:rPr>
          <w:rFonts w:cs="Arial"/>
          <w:b/>
          <w:bCs/>
          <w:szCs w:val="20"/>
          <w:u w:val="single"/>
        </w:rPr>
        <w:t xml:space="preserve"> – Gary Kleist and Mark Lombard</w:t>
      </w:r>
    </w:p>
    <w:p w14:paraId="3FB34FB7" w14:textId="5596F02A" w:rsidR="00587DF5" w:rsidRPr="00712EFA" w:rsidRDefault="00295C79" w:rsidP="00A95427">
      <w:pPr>
        <w:jc w:val="both"/>
        <w:rPr>
          <w:rFonts w:cs="Arial"/>
          <w:szCs w:val="20"/>
        </w:rPr>
      </w:pPr>
      <w:r w:rsidRPr="00712EFA">
        <w:rPr>
          <w:rFonts w:cs="Arial"/>
          <w:szCs w:val="20"/>
        </w:rPr>
        <w:t>PennDOT</w:t>
      </w:r>
      <w:r w:rsidR="00FC10B3" w:rsidRPr="00712EFA">
        <w:rPr>
          <w:rFonts w:cs="Arial"/>
          <w:szCs w:val="20"/>
        </w:rPr>
        <w:t xml:space="preserve"> uses Design-Build (DB) and Public-Private Partnership (P3) AD methods</w:t>
      </w:r>
      <w:r w:rsidRPr="00712EFA">
        <w:rPr>
          <w:rFonts w:cs="Arial"/>
          <w:szCs w:val="20"/>
        </w:rPr>
        <w:t>. PennDOT highlighted the Rapid Bridge Replacement (</w:t>
      </w:r>
      <w:r w:rsidR="009E6AEE" w:rsidRPr="00712EFA">
        <w:rPr>
          <w:rFonts w:cs="Arial"/>
          <w:szCs w:val="20"/>
        </w:rPr>
        <w:t>RBR</w:t>
      </w:r>
      <w:r w:rsidRPr="00712EFA">
        <w:rPr>
          <w:rFonts w:cs="Arial"/>
          <w:szCs w:val="20"/>
        </w:rPr>
        <w:t>)</w:t>
      </w:r>
      <w:r w:rsidR="00FC10B3" w:rsidRPr="00712EFA">
        <w:rPr>
          <w:rFonts w:cs="Arial"/>
          <w:szCs w:val="20"/>
        </w:rPr>
        <w:t xml:space="preserve"> </w:t>
      </w:r>
      <w:r w:rsidR="009E6AEE" w:rsidRPr="00712EFA">
        <w:rPr>
          <w:rFonts w:cs="Arial"/>
          <w:szCs w:val="20"/>
        </w:rPr>
        <w:t xml:space="preserve">project </w:t>
      </w:r>
      <w:r w:rsidRPr="00712EFA">
        <w:rPr>
          <w:rFonts w:cs="Arial"/>
          <w:szCs w:val="20"/>
        </w:rPr>
        <w:t xml:space="preserve">that </w:t>
      </w:r>
      <w:r w:rsidR="00FC10B3" w:rsidRPr="00712EFA">
        <w:rPr>
          <w:rFonts w:cs="Arial"/>
          <w:szCs w:val="20"/>
        </w:rPr>
        <w:t xml:space="preserve">used a Design-Build-Finance-Maintain (DBFM) </w:t>
      </w:r>
      <w:r w:rsidR="009E6AEE" w:rsidRPr="00712EFA">
        <w:rPr>
          <w:rFonts w:cs="Arial"/>
          <w:szCs w:val="20"/>
        </w:rPr>
        <w:t>P3 procurement</w:t>
      </w:r>
      <w:r w:rsidR="00FC10B3" w:rsidRPr="00712EFA">
        <w:rPr>
          <w:rFonts w:cs="Arial"/>
          <w:szCs w:val="20"/>
        </w:rPr>
        <w:t xml:space="preserve"> to </w:t>
      </w:r>
      <w:r w:rsidR="009E6AEE" w:rsidRPr="00712EFA">
        <w:rPr>
          <w:rFonts w:cs="Arial"/>
          <w:szCs w:val="20"/>
        </w:rPr>
        <w:t>replac</w:t>
      </w:r>
      <w:r w:rsidR="00FC10B3" w:rsidRPr="00712EFA">
        <w:rPr>
          <w:rFonts w:cs="Arial"/>
          <w:szCs w:val="20"/>
        </w:rPr>
        <w:t>e</w:t>
      </w:r>
      <w:r w:rsidR="009E6AEE" w:rsidRPr="00712EFA">
        <w:rPr>
          <w:rFonts w:cs="Arial"/>
          <w:szCs w:val="20"/>
        </w:rPr>
        <w:t xml:space="preserve"> 558 bridges</w:t>
      </w:r>
      <w:r w:rsidR="00C25752">
        <w:rPr>
          <w:rFonts w:cs="Arial"/>
          <w:szCs w:val="20"/>
        </w:rPr>
        <w:t xml:space="preserve"> in poor condition</w:t>
      </w:r>
      <w:r w:rsidR="00FC10B3" w:rsidRPr="00712EFA">
        <w:rPr>
          <w:rFonts w:cs="Arial"/>
          <w:szCs w:val="20"/>
        </w:rPr>
        <w:t xml:space="preserve"> throughout </w:t>
      </w:r>
      <w:r w:rsidRPr="00712EFA">
        <w:rPr>
          <w:rFonts w:cs="Arial"/>
          <w:szCs w:val="20"/>
        </w:rPr>
        <w:t>Pennsylvania.</w:t>
      </w:r>
      <w:r w:rsidR="00D02FE6" w:rsidRPr="00712EFA">
        <w:rPr>
          <w:rFonts w:cs="Arial"/>
          <w:szCs w:val="20"/>
        </w:rPr>
        <w:t xml:space="preserve"> </w:t>
      </w:r>
      <w:r w:rsidR="00587DF5" w:rsidRPr="00712EFA">
        <w:rPr>
          <w:rFonts w:cs="Arial"/>
          <w:szCs w:val="20"/>
        </w:rPr>
        <w:t>This project was the first multi-asset, multi-location transportation project of its kind to be procured through a P3 in the United States</w:t>
      </w:r>
      <w:r w:rsidRPr="00712EFA">
        <w:rPr>
          <w:rFonts w:cs="Arial"/>
          <w:szCs w:val="20"/>
        </w:rPr>
        <w:t xml:space="preserve">. </w:t>
      </w:r>
    </w:p>
    <w:p w14:paraId="51A1FE3C" w14:textId="4150D97F" w:rsidR="00876057" w:rsidRPr="00712EFA" w:rsidRDefault="00876057" w:rsidP="00A95427">
      <w:pPr>
        <w:jc w:val="both"/>
        <w:rPr>
          <w:rFonts w:cs="Arial"/>
          <w:szCs w:val="20"/>
        </w:rPr>
      </w:pPr>
      <w:r w:rsidRPr="00712EFA">
        <w:rPr>
          <w:rFonts w:cs="Arial"/>
          <w:szCs w:val="20"/>
        </w:rPr>
        <w:t xml:space="preserve">PennDOT noted </w:t>
      </w:r>
      <w:r w:rsidR="002D108C">
        <w:rPr>
          <w:rFonts w:cs="Arial"/>
          <w:szCs w:val="20"/>
        </w:rPr>
        <w:t xml:space="preserve">that </w:t>
      </w:r>
      <w:r w:rsidRPr="00712EFA">
        <w:rPr>
          <w:rFonts w:cs="Arial"/>
          <w:szCs w:val="20"/>
        </w:rPr>
        <w:t>t</w:t>
      </w:r>
      <w:r w:rsidR="00295C79" w:rsidRPr="00712EFA">
        <w:rPr>
          <w:rFonts w:cs="Arial"/>
          <w:szCs w:val="20"/>
        </w:rPr>
        <w:t>he p</w:t>
      </w:r>
      <w:r w:rsidR="009E6AEE" w:rsidRPr="00712EFA">
        <w:rPr>
          <w:rFonts w:cs="Arial"/>
          <w:szCs w:val="20"/>
        </w:rPr>
        <w:t xml:space="preserve">rimary benefit </w:t>
      </w:r>
      <w:r w:rsidR="002D108C">
        <w:rPr>
          <w:rFonts w:cs="Arial"/>
          <w:szCs w:val="20"/>
        </w:rPr>
        <w:t>of</w:t>
      </w:r>
      <w:r w:rsidR="00BA36D9" w:rsidRPr="00712EFA">
        <w:rPr>
          <w:rFonts w:cs="Arial"/>
          <w:szCs w:val="20"/>
        </w:rPr>
        <w:t xml:space="preserve"> </w:t>
      </w:r>
      <w:r w:rsidR="00295C79" w:rsidRPr="00712EFA">
        <w:rPr>
          <w:rFonts w:cs="Arial"/>
          <w:szCs w:val="20"/>
        </w:rPr>
        <w:t>using</w:t>
      </w:r>
      <w:r w:rsidR="002F1B42" w:rsidRPr="00712EFA">
        <w:rPr>
          <w:rFonts w:cs="Arial"/>
          <w:szCs w:val="20"/>
        </w:rPr>
        <w:t xml:space="preserve"> </w:t>
      </w:r>
      <w:r w:rsidR="009E6AEE" w:rsidRPr="00712EFA">
        <w:rPr>
          <w:rFonts w:cs="Arial"/>
          <w:szCs w:val="20"/>
        </w:rPr>
        <w:t>P3</w:t>
      </w:r>
      <w:r w:rsidR="00295C79" w:rsidRPr="00712EFA">
        <w:rPr>
          <w:rFonts w:cs="Arial"/>
          <w:szCs w:val="20"/>
        </w:rPr>
        <w:t xml:space="preserve"> procurement </w:t>
      </w:r>
      <w:r w:rsidR="00BA36D9" w:rsidRPr="00712EFA">
        <w:rPr>
          <w:rFonts w:cs="Arial"/>
          <w:szCs w:val="20"/>
        </w:rPr>
        <w:t>for th</w:t>
      </w:r>
      <w:r w:rsidR="00BE2801">
        <w:rPr>
          <w:rFonts w:cs="Arial"/>
          <w:szCs w:val="20"/>
        </w:rPr>
        <w:t>e RBR</w:t>
      </w:r>
      <w:r w:rsidR="00BA36D9" w:rsidRPr="00712EFA">
        <w:rPr>
          <w:rFonts w:cs="Arial"/>
          <w:szCs w:val="20"/>
        </w:rPr>
        <w:t xml:space="preserve"> project</w:t>
      </w:r>
      <w:r w:rsidR="00295C79" w:rsidRPr="00712EFA">
        <w:rPr>
          <w:rFonts w:cs="Arial"/>
          <w:szCs w:val="20"/>
        </w:rPr>
        <w:t xml:space="preserve"> </w:t>
      </w:r>
      <w:r w:rsidR="009E6AEE" w:rsidRPr="00712EFA">
        <w:rPr>
          <w:rFonts w:cs="Arial"/>
          <w:szCs w:val="20"/>
        </w:rPr>
        <w:t xml:space="preserve">was </w:t>
      </w:r>
      <w:r w:rsidRPr="00712EFA">
        <w:rPr>
          <w:rFonts w:cs="Arial"/>
          <w:szCs w:val="20"/>
        </w:rPr>
        <w:t xml:space="preserve">being </w:t>
      </w:r>
      <w:r w:rsidR="009E6AEE" w:rsidRPr="00712EFA">
        <w:rPr>
          <w:rFonts w:cs="Arial"/>
          <w:szCs w:val="20"/>
        </w:rPr>
        <w:t xml:space="preserve">able to replace all 558 </w:t>
      </w:r>
      <w:r w:rsidRPr="00712EFA">
        <w:rPr>
          <w:rFonts w:cs="Arial"/>
          <w:szCs w:val="20"/>
        </w:rPr>
        <w:t xml:space="preserve">bridges </w:t>
      </w:r>
      <w:r w:rsidR="00DE4FED">
        <w:rPr>
          <w:rFonts w:cs="Arial"/>
          <w:szCs w:val="20"/>
        </w:rPr>
        <w:t>quicker</w:t>
      </w:r>
      <w:r w:rsidRPr="00712EFA">
        <w:rPr>
          <w:rFonts w:cs="Arial"/>
          <w:szCs w:val="20"/>
        </w:rPr>
        <w:t xml:space="preserve"> than under a traditional procurement contract</w:t>
      </w:r>
      <w:r w:rsidR="002D108C">
        <w:rPr>
          <w:rFonts w:cs="Arial"/>
          <w:szCs w:val="20"/>
        </w:rPr>
        <w:t xml:space="preserve">, </w:t>
      </w:r>
      <w:r w:rsidRPr="00712EFA">
        <w:rPr>
          <w:rFonts w:cs="Arial"/>
          <w:szCs w:val="20"/>
        </w:rPr>
        <w:t xml:space="preserve">minimizing impacts to the traveling public and its traditional highway and bridge delivery program. The RBR project </w:t>
      </w:r>
      <w:r w:rsidR="00BA36D9" w:rsidRPr="00712EFA">
        <w:rPr>
          <w:rFonts w:cs="Arial"/>
          <w:szCs w:val="20"/>
        </w:rPr>
        <w:t xml:space="preserve">provided </w:t>
      </w:r>
      <w:r w:rsidRPr="00712EFA">
        <w:rPr>
          <w:rFonts w:cs="Arial"/>
          <w:szCs w:val="20"/>
        </w:rPr>
        <w:t>value to taxpayers</w:t>
      </w:r>
      <w:r w:rsidR="00C01F0F">
        <w:rPr>
          <w:rFonts w:cs="Arial"/>
          <w:szCs w:val="20"/>
        </w:rPr>
        <w:t>,</w:t>
      </w:r>
      <w:r w:rsidRPr="00712EFA">
        <w:rPr>
          <w:rFonts w:cs="Arial"/>
          <w:szCs w:val="20"/>
        </w:rPr>
        <w:t xml:space="preserve"> </w:t>
      </w:r>
      <w:r w:rsidR="00A25734" w:rsidRPr="00712EFA">
        <w:rPr>
          <w:rFonts w:cs="Arial"/>
          <w:szCs w:val="20"/>
        </w:rPr>
        <w:t>as the</w:t>
      </w:r>
      <w:r w:rsidR="00BA36D9" w:rsidRPr="00712EFA">
        <w:rPr>
          <w:rFonts w:cs="Arial"/>
          <w:szCs w:val="20"/>
        </w:rPr>
        <w:t xml:space="preserve"> private</w:t>
      </w:r>
      <w:r w:rsidRPr="00712EFA">
        <w:rPr>
          <w:rFonts w:cs="Arial"/>
          <w:szCs w:val="20"/>
        </w:rPr>
        <w:t xml:space="preserve"> </w:t>
      </w:r>
      <w:r w:rsidR="00195A49">
        <w:rPr>
          <w:rFonts w:cs="Arial"/>
          <w:szCs w:val="20"/>
        </w:rPr>
        <w:t>Developer</w:t>
      </w:r>
      <w:r w:rsidR="00A25734" w:rsidRPr="00712EFA">
        <w:rPr>
          <w:rFonts w:cs="Arial"/>
          <w:szCs w:val="20"/>
        </w:rPr>
        <w:t xml:space="preserve"> chosen by PennDOT</w:t>
      </w:r>
      <w:r w:rsidR="00BA36D9" w:rsidRPr="00712EFA">
        <w:rPr>
          <w:rFonts w:cs="Arial"/>
          <w:szCs w:val="20"/>
        </w:rPr>
        <w:t xml:space="preserve"> was </w:t>
      </w:r>
      <w:r w:rsidRPr="00712EFA">
        <w:rPr>
          <w:rFonts w:cs="Arial"/>
          <w:szCs w:val="20"/>
        </w:rPr>
        <w:t>responsible for the</w:t>
      </w:r>
      <w:r w:rsidR="00A25734" w:rsidRPr="00712EFA">
        <w:rPr>
          <w:rFonts w:cs="Arial"/>
          <w:szCs w:val="20"/>
        </w:rPr>
        <w:t xml:space="preserve"> design, construction, </w:t>
      </w:r>
      <w:r w:rsidR="00967C8B">
        <w:rPr>
          <w:rFonts w:cs="Arial"/>
          <w:szCs w:val="20"/>
        </w:rPr>
        <w:t xml:space="preserve">and </w:t>
      </w:r>
      <w:r w:rsidR="00A25734" w:rsidRPr="00712EFA">
        <w:rPr>
          <w:rFonts w:cs="Arial"/>
          <w:szCs w:val="20"/>
        </w:rPr>
        <w:t>financing</w:t>
      </w:r>
      <w:r w:rsidR="00311EF9">
        <w:rPr>
          <w:rFonts w:cs="Arial"/>
          <w:szCs w:val="20"/>
        </w:rPr>
        <w:t xml:space="preserve"> </w:t>
      </w:r>
      <w:r w:rsidRPr="00712EFA">
        <w:rPr>
          <w:rFonts w:cs="Arial"/>
          <w:szCs w:val="20"/>
        </w:rPr>
        <w:t>of all 558 bridges</w:t>
      </w:r>
      <w:r w:rsidR="00311EF9">
        <w:rPr>
          <w:rFonts w:cs="Arial"/>
          <w:szCs w:val="20"/>
        </w:rPr>
        <w:t>, which</w:t>
      </w:r>
      <w:r w:rsidRPr="00712EFA">
        <w:rPr>
          <w:rFonts w:cs="Arial"/>
          <w:szCs w:val="20"/>
        </w:rPr>
        <w:t xml:space="preserve"> </w:t>
      </w:r>
      <w:r w:rsidR="00311EF9">
        <w:rPr>
          <w:rFonts w:cs="Arial"/>
          <w:szCs w:val="20"/>
        </w:rPr>
        <w:t xml:space="preserve">allowed for the </w:t>
      </w:r>
      <w:r w:rsidRPr="00712EFA">
        <w:rPr>
          <w:rFonts w:cs="Arial"/>
          <w:szCs w:val="20"/>
        </w:rPr>
        <w:t>use of standardized designs.</w:t>
      </w:r>
      <w:r w:rsidR="00405077">
        <w:rPr>
          <w:rFonts w:cs="Arial"/>
          <w:szCs w:val="20"/>
        </w:rPr>
        <w:t xml:space="preserve"> </w:t>
      </w:r>
      <w:r w:rsidRPr="00712EFA">
        <w:rPr>
          <w:rFonts w:cs="Arial"/>
          <w:szCs w:val="20"/>
        </w:rPr>
        <w:t>For this project, five core designs were developed and then tweaked accordingly for each bridge</w:t>
      </w:r>
      <w:r w:rsidR="00311EF9">
        <w:rPr>
          <w:rFonts w:cs="Arial"/>
          <w:szCs w:val="20"/>
        </w:rPr>
        <w:t xml:space="preserve"> by the Developer</w:t>
      </w:r>
      <w:r w:rsidRPr="00712EFA">
        <w:rPr>
          <w:rFonts w:cs="Arial"/>
          <w:szCs w:val="20"/>
        </w:rPr>
        <w:t>.</w:t>
      </w:r>
      <w:r w:rsidR="00273427" w:rsidRPr="00712EFA">
        <w:rPr>
          <w:rFonts w:cs="Arial"/>
          <w:szCs w:val="20"/>
        </w:rPr>
        <w:t xml:space="preserve"> </w:t>
      </w:r>
      <w:r w:rsidR="00204944">
        <w:rPr>
          <w:rFonts w:cs="Arial"/>
          <w:szCs w:val="20"/>
        </w:rPr>
        <w:t>Additionally, the Developer assumed maintenance operations for a term of 25 years, incentivizing greater construction quality.</w:t>
      </w:r>
      <w:r w:rsidR="00405077">
        <w:rPr>
          <w:rFonts w:cs="Arial"/>
          <w:szCs w:val="20"/>
        </w:rPr>
        <w:t xml:space="preserve"> </w:t>
      </w:r>
      <w:r w:rsidRPr="00712EFA">
        <w:rPr>
          <w:rFonts w:cs="Arial"/>
          <w:szCs w:val="20"/>
        </w:rPr>
        <w:t>The RBR project gave PennDOT a new opportunity to make a public commitment for long term operations and maintenance by ensuring</w:t>
      </w:r>
      <w:r w:rsidR="003B17E7" w:rsidRPr="00712EFA">
        <w:rPr>
          <w:rFonts w:cs="Arial"/>
          <w:szCs w:val="20"/>
        </w:rPr>
        <w:t xml:space="preserve">, through its maintenance agreement with the </w:t>
      </w:r>
      <w:r w:rsidR="005334A2">
        <w:rPr>
          <w:rFonts w:cs="Arial"/>
          <w:szCs w:val="20"/>
        </w:rPr>
        <w:t>Developer</w:t>
      </w:r>
      <w:r w:rsidR="003B17E7" w:rsidRPr="00712EFA">
        <w:rPr>
          <w:rFonts w:cs="Arial"/>
          <w:szCs w:val="20"/>
        </w:rPr>
        <w:t xml:space="preserve">, </w:t>
      </w:r>
      <w:r w:rsidR="005334A2">
        <w:rPr>
          <w:rFonts w:cs="Arial"/>
          <w:szCs w:val="20"/>
        </w:rPr>
        <w:t xml:space="preserve">that </w:t>
      </w:r>
      <w:r w:rsidR="003B17E7" w:rsidRPr="00712EFA">
        <w:rPr>
          <w:rFonts w:cs="Arial"/>
          <w:szCs w:val="20"/>
        </w:rPr>
        <w:t xml:space="preserve">the </w:t>
      </w:r>
      <w:r w:rsidRPr="00712EFA">
        <w:rPr>
          <w:rFonts w:cs="Arial"/>
          <w:szCs w:val="20"/>
        </w:rPr>
        <w:t xml:space="preserve">new bridges </w:t>
      </w:r>
      <w:r w:rsidR="003B17E7" w:rsidRPr="00712EFA">
        <w:rPr>
          <w:rFonts w:cs="Arial"/>
          <w:szCs w:val="20"/>
        </w:rPr>
        <w:t xml:space="preserve">are kept it in good </w:t>
      </w:r>
      <w:r w:rsidRPr="00712EFA">
        <w:rPr>
          <w:rFonts w:cs="Arial"/>
          <w:szCs w:val="20"/>
        </w:rPr>
        <w:t xml:space="preserve">condition.  </w:t>
      </w:r>
    </w:p>
    <w:p w14:paraId="1B241925" w14:textId="175E8483" w:rsidR="009E6AEE" w:rsidRPr="00712EFA" w:rsidRDefault="009D52A1" w:rsidP="00A95427">
      <w:pPr>
        <w:jc w:val="both"/>
        <w:rPr>
          <w:rFonts w:cs="Arial"/>
          <w:szCs w:val="20"/>
        </w:rPr>
      </w:pPr>
      <w:r>
        <w:rPr>
          <w:rFonts w:cs="Arial"/>
          <w:szCs w:val="20"/>
        </w:rPr>
        <w:t xml:space="preserve">During and after the project, </w:t>
      </w:r>
      <w:r w:rsidR="009E6AEE" w:rsidRPr="00712EFA">
        <w:rPr>
          <w:rFonts w:cs="Arial"/>
          <w:szCs w:val="20"/>
        </w:rPr>
        <w:t>P</w:t>
      </w:r>
      <w:r w:rsidR="00C04223" w:rsidRPr="00712EFA">
        <w:rPr>
          <w:rFonts w:cs="Arial"/>
          <w:szCs w:val="20"/>
        </w:rPr>
        <w:t>ennDOT</w:t>
      </w:r>
      <w:r w:rsidR="009E6AEE" w:rsidRPr="00712EFA">
        <w:rPr>
          <w:rFonts w:cs="Arial"/>
          <w:szCs w:val="20"/>
        </w:rPr>
        <w:t xml:space="preserve"> worked with </w:t>
      </w:r>
      <w:r w:rsidR="00C04223" w:rsidRPr="00712EFA">
        <w:rPr>
          <w:rFonts w:cs="Arial"/>
          <w:szCs w:val="20"/>
        </w:rPr>
        <w:t xml:space="preserve">the </w:t>
      </w:r>
      <w:r w:rsidR="005334A2">
        <w:rPr>
          <w:rFonts w:cs="Arial"/>
          <w:szCs w:val="20"/>
        </w:rPr>
        <w:t>Developer</w:t>
      </w:r>
      <w:r w:rsidR="005334A2" w:rsidRPr="00712EFA">
        <w:rPr>
          <w:rFonts w:cs="Arial"/>
          <w:szCs w:val="20"/>
        </w:rPr>
        <w:t xml:space="preserve"> </w:t>
      </w:r>
      <w:r w:rsidR="00C04223" w:rsidRPr="00712EFA">
        <w:rPr>
          <w:rFonts w:cs="Arial"/>
          <w:szCs w:val="20"/>
        </w:rPr>
        <w:t xml:space="preserve">to </w:t>
      </w:r>
      <w:r w:rsidR="005334A2">
        <w:rPr>
          <w:rFonts w:cs="Arial"/>
          <w:szCs w:val="20"/>
        </w:rPr>
        <w:t>prepare</w:t>
      </w:r>
      <w:r w:rsidR="005334A2" w:rsidRPr="00712EFA">
        <w:rPr>
          <w:rFonts w:cs="Arial"/>
          <w:szCs w:val="20"/>
        </w:rPr>
        <w:t xml:space="preserve"> </w:t>
      </w:r>
      <w:r w:rsidR="009E6AEE" w:rsidRPr="00405077">
        <w:rPr>
          <w:rFonts w:cs="Arial"/>
          <w:szCs w:val="20"/>
        </w:rPr>
        <w:t>lessons learned</w:t>
      </w:r>
      <w:r w:rsidR="00C01C60" w:rsidRPr="00405077">
        <w:t>,</w:t>
      </w:r>
      <w:r w:rsidR="00A25734" w:rsidRPr="00405077">
        <w:t xml:space="preserve"> which</w:t>
      </w:r>
      <w:r w:rsidR="00A25734" w:rsidRPr="00712EFA">
        <w:rPr>
          <w:rStyle w:val="Hyperlink"/>
          <w:rFonts w:cs="Arial"/>
          <w:color w:val="auto"/>
          <w:szCs w:val="20"/>
          <w:u w:val="none"/>
        </w:rPr>
        <w:t xml:space="preserve"> included</w:t>
      </w:r>
      <w:r w:rsidR="005A4435">
        <w:rPr>
          <w:rStyle w:val="Hyperlink"/>
          <w:rFonts w:cs="Arial"/>
          <w:color w:val="auto"/>
          <w:szCs w:val="20"/>
          <w:u w:val="none"/>
        </w:rPr>
        <w:t xml:space="preserve"> the following</w:t>
      </w:r>
      <w:r w:rsidR="00C04223" w:rsidRPr="00712EFA">
        <w:rPr>
          <w:rFonts w:cs="Arial"/>
          <w:szCs w:val="20"/>
        </w:rPr>
        <w:t>:</w:t>
      </w:r>
    </w:p>
    <w:p w14:paraId="7FFE6D4F" w14:textId="06A6832C" w:rsidR="009E6AEE" w:rsidRPr="00712EFA" w:rsidRDefault="00C1764C" w:rsidP="00A95427">
      <w:pPr>
        <w:pStyle w:val="ListParagraph"/>
        <w:numPr>
          <w:ilvl w:val="0"/>
          <w:numId w:val="1"/>
        </w:numPr>
        <w:jc w:val="both"/>
        <w:rPr>
          <w:rFonts w:cs="Arial"/>
          <w:szCs w:val="20"/>
        </w:rPr>
      </w:pPr>
      <w:r>
        <w:rPr>
          <w:rFonts w:cs="Arial"/>
          <w:szCs w:val="20"/>
        </w:rPr>
        <w:lastRenderedPageBreak/>
        <w:t xml:space="preserve">Whether to use </w:t>
      </w:r>
      <w:r w:rsidR="009217C1" w:rsidRPr="00712EFA">
        <w:rPr>
          <w:rFonts w:cs="Arial"/>
          <w:szCs w:val="20"/>
        </w:rPr>
        <w:t>AD should be</w:t>
      </w:r>
      <w:r w:rsidR="005A4435">
        <w:rPr>
          <w:rFonts w:cs="Arial"/>
          <w:szCs w:val="20"/>
        </w:rPr>
        <w:t xml:space="preserve"> based</w:t>
      </w:r>
      <w:r w:rsidR="009217C1" w:rsidRPr="00712EFA">
        <w:rPr>
          <w:rFonts w:cs="Arial"/>
          <w:szCs w:val="20"/>
        </w:rPr>
        <w:t xml:space="preserve"> on </w:t>
      </w:r>
      <w:r w:rsidR="005A4435">
        <w:rPr>
          <w:rFonts w:cs="Arial"/>
          <w:szCs w:val="20"/>
        </w:rPr>
        <w:t>the circumstances of a specific</w:t>
      </w:r>
      <w:r w:rsidR="009217C1" w:rsidRPr="00712EFA">
        <w:rPr>
          <w:rFonts w:cs="Arial"/>
          <w:szCs w:val="20"/>
        </w:rPr>
        <w:t xml:space="preserve"> project</w:t>
      </w:r>
      <w:r w:rsidR="005A4435">
        <w:rPr>
          <w:rFonts w:cs="Arial"/>
          <w:szCs w:val="20"/>
        </w:rPr>
        <w:t>, as AD is</w:t>
      </w:r>
      <w:r w:rsidR="009217C1" w:rsidRPr="00712EFA">
        <w:rPr>
          <w:rFonts w:cs="Arial"/>
          <w:szCs w:val="20"/>
        </w:rPr>
        <w:t xml:space="preserve"> not a one size fits all</w:t>
      </w:r>
      <w:r w:rsidR="00A25734" w:rsidRPr="00712EFA">
        <w:rPr>
          <w:rFonts w:cs="Arial"/>
          <w:szCs w:val="20"/>
        </w:rPr>
        <w:t xml:space="preserve"> </w:t>
      </w:r>
      <w:r w:rsidR="005A4435">
        <w:rPr>
          <w:rFonts w:cs="Arial"/>
          <w:szCs w:val="20"/>
        </w:rPr>
        <w:t>approach</w:t>
      </w:r>
      <w:r w:rsidR="00A25734" w:rsidRPr="00712EFA">
        <w:rPr>
          <w:rFonts w:cs="Arial"/>
          <w:szCs w:val="20"/>
        </w:rPr>
        <w:t>;</w:t>
      </w:r>
    </w:p>
    <w:p w14:paraId="33FA2C7B" w14:textId="65B8469C" w:rsidR="009E6AEE" w:rsidRPr="00712EFA" w:rsidRDefault="009E6AEE" w:rsidP="00A95427">
      <w:pPr>
        <w:pStyle w:val="ListParagraph"/>
        <w:numPr>
          <w:ilvl w:val="0"/>
          <w:numId w:val="1"/>
        </w:numPr>
        <w:jc w:val="both"/>
        <w:rPr>
          <w:rFonts w:cs="Arial"/>
          <w:szCs w:val="20"/>
        </w:rPr>
      </w:pPr>
      <w:r w:rsidRPr="00712EFA">
        <w:rPr>
          <w:rFonts w:cs="Arial"/>
          <w:szCs w:val="20"/>
        </w:rPr>
        <w:t>Set the rules of engagement</w:t>
      </w:r>
      <w:r w:rsidR="009217C1" w:rsidRPr="00712EFA">
        <w:rPr>
          <w:rFonts w:cs="Arial"/>
          <w:szCs w:val="20"/>
        </w:rPr>
        <w:t xml:space="preserve"> early to</w:t>
      </w:r>
      <w:r w:rsidRPr="00712EFA">
        <w:rPr>
          <w:rFonts w:cs="Arial"/>
          <w:szCs w:val="20"/>
        </w:rPr>
        <w:t xml:space="preserve"> </w:t>
      </w:r>
      <w:r w:rsidR="009217C1" w:rsidRPr="00712EFA">
        <w:rPr>
          <w:rFonts w:cs="Arial"/>
          <w:szCs w:val="20"/>
        </w:rPr>
        <w:t>ensure both parties, the public owner and private entity, know their responsibilities for the entirety of the project</w:t>
      </w:r>
      <w:r w:rsidR="004711F7">
        <w:rPr>
          <w:rFonts w:cs="Arial"/>
          <w:szCs w:val="20"/>
        </w:rPr>
        <w:t>,</w:t>
      </w:r>
      <w:r w:rsidR="009217C1" w:rsidRPr="00712EFA">
        <w:rPr>
          <w:rFonts w:cs="Arial"/>
          <w:szCs w:val="20"/>
        </w:rPr>
        <w:t xml:space="preserve"> which allows for better collaboration throughout the project lifecycle; and </w:t>
      </w:r>
    </w:p>
    <w:p w14:paraId="28702D48" w14:textId="7705A4E4" w:rsidR="009E6AEE" w:rsidRPr="00712EFA" w:rsidRDefault="009217C1" w:rsidP="00A95427">
      <w:pPr>
        <w:pStyle w:val="ListParagraph"/>
        <w:numPr>
          <w:ilvl w:val="0"/>
          <w:numId w:val="1"/>
        </w:numPr>
        <w:jc w:val="both"/>
        <w:rPr>
          <w:rFonts w:cs="Arial"/>
          <w:szCs w:val="20"/>
        </w:rPr>
      </w:pPr>
      <w:r w:rsidRPr="00712EFA">
        <w:rPr>
          <w:rFonts w:cs="Arial"/>
          <w:szCs w:val="20"/>
        </w:rPr>
        <w:t xml:space="preserve">Do not rush the procurement. Public owners should take time in resolving upfront work such as environmental remediation and utility relocation. </w:t>
      </w:r>
    </w:p>
    <w:p w14:paraId="4772F7B6" w14:textId="07531985" w:rsidR="009C6502" w:rsidRPr="00712EFA" w:rsidRDefault="009217C1" w:rsidP="00A95427">
      <w:pPr>
        <w:jc w:val="both"/>
        <w:rPr>
          <w:rFonts w:cs="Arial"/>
          <w:szCs w:val="20"/>
        </w:rPr>
      </w:pPr>
      <w:r w:rsidRPr="00712EFA">
        <w:rPr>
          <w:rFonts w:cs="Arial"/>
          <w:szCs w:val="20"/>
        </w:rPr>
        <w:t>PennDOT realized significant</w:t>
      </w:r>
      <w:r w:rsidR="009E6AEE" w:rsidRPr="00712EFA">
        <w:rPr>
          <w:rFonts w:cs="Arial"/>
          <w:szCs w:val="20"/>
        </w:rPr>
        <w:t xml:space="preserve"> time savings </w:t>
      </w:r>
      <w:r w:rsidRPr="00712EFA">
        <w:rPr>
          <w:rFonts w:cs="Arial"/>
          <w:szCs w:val="20"/>
        </w:rPr>
        <w:t xml:space="preserve">utilizing the </w:t>
      </w:r>
      <w:r w:rsidR="009E6AEE" w:rsidRPr="00712EFA">
        <w:rPr>
          <w:rFonts w:cs="Arial"/>
          <w:szCs w:val="20"/>
        </w:rPr>
        <w:t xml:space="preserve">P3 </w:t>
      </w:r>
      <w:r w:rsidRPr="00712EFA">
        <w:rPr>
          <w:rFonts w:cs="Arial"/>
          <w:szCs w:val="20"/>
        </w:rPr>
        <w:t xml:space="preserve">delivery </w:t>
      </w:r>
      <w:r w:rsidR="009E6AEE" w:rsidRPr="00712EFA">
        <w:rPr>
          <w:rFonts w:cs="Arial"/>
          <w:szCs w:val="20"/>
        </w:rPr>
        <w:t>method</w:t>
      </w:r>
      <w:r w:rsidRPr="00712EFA">
        <w:rPr>
          <w:rFonts w:cs="Arial"/>
          <w:szCs w:val="20"/>
        </w:rPr>
        <w:t xml:space="preserve"> due to their ability to bundle all 558 bridges in</w:t>
      </w:r>
      <w:r w:rsidR="00273427" w:rsidRPr="00712EFA">
        <w:rPr>
          <w:rFonts w:cs="Arial"/>
          <w:szCs w:val="20"/>
        </w:rPr>
        <w:t>to</w:t>
      </w:r>
      <w:r w:rsidRPr="00712EFA">
        <w:rPr>
          <w:rFonts w:cs="Arial"/>
          <w:szCs w:val="20"/>
        </w:rPr>
        <w:t xml:space="preserve"> one procurement</w:t>
      </w:r>
      <w:r w:rsidR="00273427" w:rsidRPr="00712EFA">
        <w:rPr>
          <w:rFonts w:cs="Arial"/>
          <w:szCs w:val="20"/>
        </w:rPr>
        <w:t xml:space="preserve"> </w:t>
      </w:r>
      <w:r w:rsidRPr="00712EFA">
        <w:rPr>
          <w:rFonts w:cs="Arial"/>
          <w:szCs w:val="20"/>
        </w:rPr>
        <w:t xml:space="preserve">and obtain </w:t>
      </w:r>
      <w:r w:rsidR="009C6502" w:rsidRPr="00712EFA">
        <w:rPr>
          <w:rFonts w:cs="Arial"/>
          <w:szCs w:val="20"/>
        </w:rPr>
        <w:t>upfront private financing from the D</w:t>
      </w:r>
      <w:r w:rsidR="00AE6216">
        <w:rPr>
          <w:rFonts w:cs="Arial"/>
          <w:szCs w:val="20"/>
        </w:rPr>
        <w:t>eveloper</w:t>
      </w:r>
      <w:r w:rsidR="009C6502" w:rsidRPr="00712EFA">
        <w:rPr>
          <w:rFonts w:cs="Arial"/>
          <w:szCs w:val="20"/>
        </w:rPr>
        <w:t xml:space="preserve"> to accelerate the project schedule</w:t>
      </w:r>
      <w:r w:rsidRPr="00712EFA">
        <w:rPr>
          <w:rFonts w:cs="Arial"/>
          <w:szCs w:val="20"/>
        </w:rPr>
        <w:t>.</w:t>
      </w:r>
      <w:r w:rsidR="00A25734" w:rsidRPr="00712EFA">
        <w:rPr>
          <w:rFonts w:cs="Arial"/>
          <w:szCs w:val="20"/>
        </w:rPr>
        <w:t xml:space="preserve"> The upfront financing by the </w:t>
      </w:r>
      <w:r w:rsidR="00AE6216" w:rsidRPr="00712EFA">
        <w:rPr>
          <w:rFonts w:cs="Arial"/>
          <w:szCs w:val="20"/>
        </w:rPr>
        <w:t>D</w:t>
      </w:r>
      <w:r w:rsidR="00AE6216">
        <w:rPr>
          <w:rFonts w:cs="Arial"/>
          <w:szCs w:val="20"/>
        </w:rPr>
        <w:t>eveloper</w:t>
      </w:r>
      <w:r w:rsidR="00AE6216" w:rsidRPr="00712EFA">
        <w:rPr>
          <w:rFonts w:cs="Arial"/>
          <w:szCs w:val="20"/>
        </w:rPr>
        <w:t xml:space="preserve"> </w:t>
      </w:r>
      <w:r w:rsidR="00A25734" w:rsidRPr="00712EFA">
        <w:rPr>
          <w:rFonts w:cs="Arial"/>
          <w:szCs w:val="20"/>
        </w:rPr>
        <w:t>was repaid through an availability payment structure where PennDOT would pay the D</w:t>
      </w:r>
      <w:r w:rsidR="003E2AF4">
        <w:rPr>
          <w:rFonts w:cs="Arial"/>
          <w:szCs w:val="20"/>
        </w:rPr>
        <w:t>eveloper</w:t>
      </w:r>
      <w:r w:rsidR="00A25734" w:rsidRPr="00712EFA">
        <w:rPr>
          <w:rFonts w:cs="Arial"/>
          <w:szCs w:val="20"/>
        </w:rPr>
        <w:t xml:space="preserve"> after each successful replacement bridge was constructed.</w:t>
      </w:r>
      <w:r w:rsidRPr="00712EFA">
        <w:rPr>
          <w:rFonts w:cs="Arial"/>
          <w:szCs w:val="20"/>
        </w:rPr>
        <w:t xml:space="preserve"> PennDOT also noted that </w:t>
      </w:r>
      <w:r w:rsidR="009E6AEE" w:rsidRPr="00712EFA">
        <w:rPr>
          <w:rFonts w:cs="Arial"/>
          <w:szCs w:val="20"/>
        </w:rPr>
        <w:t xml:space="preserve">some </w:t>
      </w:r>
      <w:r w:rsidRPr="00712EFA">
        <w:rPr>
          <w:rFonts w:cs="Arial"/>
          <w:szCs w:val="20"/>
        </w:rPr>
        <w:t xml:space="preserve">of the 558 </w:t>
      </w:r>
      <w:r w:rsidR="009E6AEE" w:rsidRPr="00712EFA">
        <w:rPr>
          <w:rFonts w:cs="Arial"/>
          <w:szCs w:val="20"/>
        </w:rPr>
        <w:t>bridges were</w:t>
      </w:r>
      <w:r w:rsidRPr="00712EFA">
        <w:rPr>
          <w:rFonts w:cs="Arial"/>
          <w:szCs w:val="20"/>
        </w:rPr>
        <w:t xml:space="preserve"> not </w:t>
      </w:r>
      <w:r w:rsidR="008521C8">
        <w:rPr>
          <w:rFonts w:cs="Arial"/>
          <w:szCs w:val="20"/>
        </w:rPr>
        <w:t xml:space="preserve">part of </w:t>
      </w:r>
      <w:r w:rsidR="009C6502" w:rsidRPr="00712EFA">
        <w:rPr>
          <w:rFonts w:cs="Arial"/>
          <w:szCs w:val="20"/>
        </w:rPr>
        <w:t xml:space="preserve">their </w:t>
      </w:r>
      <w:r w:rsidR="00405077">
        <w:rPr>
          <w:rFonts w:cs="Arial"/>
          <w:szCs w:val="20"/>
        </w:rPr>
        <w:t xml:space="preserve">Transportation Improvement Program </w:t>
      </w:r>
      <w:r w:rsidR="009E6AEE" w:rsidRPr="00712EFA">
        <w:rPr>
          <w:rFonts w:cs="Arial"/>
          <w:szCs w:val="20"/>
        </w:rPr>
        <w:t xml:space="preserve">in </w:t>
      </w:r>
      <w:r w:rsidR="00577265">
        <w:rPr>
          <w:rFonts w:cs="Arial"/>
          <w:szCs w:val="20"/>
        </w:rPr>
        <w:t xml:space="preserve">the coming </w:t>
      </w:r>
      <w:r w:rsidR="009E6AEE" w:rsidRPr="00712EFA">
        <w:rPr>
          <w:rFonts w:cs="Arial"/>
          <w:szCs w:val="20"/>
        </w:rPr>
        <w:t>10 years</w:t>
      </w:r>
      <w:r w:rsidR="009C6502" w:rsidRPr="00712EFA">
        <w:rPr>
          <w:rFonts w:cs="Arial"/>
          <w:szCs w:val="20"/>
        </w:rPr>
        <w:t xml:space="preserve">, </w:t>
      </w:r>
      <w:r w:rsidR="00577265">
        <w:rPr>
          <w:rFonts w:cs="Arial"/>
          <w:szCs w:val="20"/>
        </w:rPr>
        <w:t>but by</w:t>
      </w:r>
      <w:r w:rsidR="009C6502" w:rsidRPr="00712EFA">
        <w:rPr>
          <w:rFonts w:cs="Arial"/>
          <w:szCs w:val="20"/>
        </w:rPr>
        <w:t xml:space="preserve"> using the P3 method, </w:t>
      </w:r>
      <w:r w:rsidR="00577265">
        <w:rPr>
          <w:rFonts w:cs="Arial"/>
          <w:szCs w:val="20"/>
        </w:rPr>
        <w:t>was</w:t>
      </w:r>
      <w:r w:rsidR="009C6502" w:rsidRPr="00712EFA">
        <w:rPr>
          <w:rFonts w:cs="Arial"/>
          <w:szCs w:val="20"/>
        </w:rPr>
        <w:t xml:space="preserve"> able to </w:t>
      </w:r>
      <w:r w:rsidR="00577265">
        <w:rPr>
          <w:rFonts w:cs="Arial"/>
          <w:szCs w:val="20"/>
        </w:rPr>
        <w:t>accelerate</w:t>
      </w:r>
      <w:r w:rsidR="00577265" w:rsidRPr="00712EFA">
        <w:rPr>
          <w:rFonts w:cs="Arial"/>
          <w:szCs w:val="20"/>
        </w:rPr>
        <w:t xml:space="preserve"> </w:t>
      </w:r>
      <w:r w:rsidR="009C6502" w:rsidRPr="00712EFA">
        <w:rPr>
          <w:rFonts w:cs="Arial"/>
          <w:szCs w:val="20"/>
        </w:rPr>
        <w:t>their replacement.</w:t>
      </w:r>
      <w:r w:rsidR="009E6AEE" w:rsidRPr="00712EFA">
        <w:rPr>
          <w:rFonts w:cs="Arial"/>
          <w:szCs w:val="20"/>
        </w:rPr>
        <w:t xml:space="preserve"> </w:t>
      </w:r>
    </w:p>
    <w:p w14:paraId="498867E6" w14:textId="30D00CFB" w:rsidR="009C6502" w:rsidRPr="00712EFA" w:rsidRDefault="009C6502" w:rsidP="00A95427">
      <w:pPr>
        <w:jc w:val="both"/>
        <w:rPr>
          <w:rFonts w:cs="Arial"/>
          <w:szCs w:val="20"/>
        </w:rPr>
      </w:pPr>
      <w:r w:rsidRPr="00712EFA">
        <w:rPr>
          <w:rFonts w:cs="Arial"/>
          <w:szCs w:val="20"/>
        </w:rPr>
        <w:t xml:space="preserve">PennDOT has experienced time savings using DB over Design-Bid-Build </w:t>
      </w:r>
      <w:r w:rsidR="00A25734" w:rsidRPr="00712EFA">
        <w:rPr>
          <w:rFonts w:cs="Arial"/>
          <w:szCs w:val="20"/>
        </w:rPr>
        <w:t xml:space="preserve">(DBB) </w:t>
      </w:r>
      <w:r w:rsidRPr="00712EFA">
        <w:rPr>
          <w:rFonts w:cs="Arial"/>
          <w:szCs w:val="20"/>
        </w:rPr>
        <w:t>due to the overlap of design and construction on DB projects. However, PennDOT cautions that this is dependent on the amount of Right of Way</w:t>
      </w:r>
      <w:r w:rsidR="008521C8">
        <w:rPr>
          <w:rFonts w:cs="Arial"/>
          <w:szCs w:val="20"/>
        </w:rPr>
        <w:t xml:space="preserve"> (ROW)</w:t>
      </w:r>
      <w:r w:rsidRPr="00712EFA">
        <w:rPr>
          <w:rFonts w:cs="Arial"/>
          <w:szCs w:val="20"/>
        </w:rPr>
        <w:t xml:space="preserve"> acquisition and utility relocation involved for a project, and that complex projects with significant </w:t>
      </w:r>
      <w:r w:rsidR="008521C8">
        <w:rPr>
          <w:rFonts w:cs="Arial"/>
          <w:szCs w:val="20"/>
        </w:rPr>
        <w:t>ROW</w:t>
      </w:r>
      <w:r w:rsidRPr="00712EFA">
        <w:rPr>
          <w:rFonts w:cs="Arial"/>
          <w:szCs w:val="20"/>
        </w:rPr>
        <w:t xml:space="preserve"> and utility needs can experience extended durations and create problems for DB projects.</w:t>
      </w:r>
      <w:r w:rsidR="00A25734" w:rsidRPr="00712EFA">
        <w:rPr>
          <w:rFonts w:cs="Arial"/>
          <w:szCs w:val="20"/>
        </w:rPr>
        <w:t xml:space="preserve"> </w:t>
      </w:r>
      <w:r w:rsidRPr="00712EFA">
        <w:rPr>
          <w:rFonts w:cs="Arial"/>
          <w:szCs w:val="20"/>
        </w:rPr>
        <w:t xml:space="preserve">In comparing the amount of change orders between delivery methods, PennDOT noted for the RBR project </w:t>
      </w:r>
      <w:r w:rsidR="008521C8">
        <w:rPr>
          <w:rFonts w:cs="Arial"/>
          <w:szCs w:val="20"/>
        </w:rPr>
        <w:t xml:space="preserve">that </w:t>
      </w:r>
      <w:r w:rsidRPr="00712EFA">
        <w:rPr>
          <w:rFonts w:cs="Arial"/>
          <w:szCs w:val="20"/>
        </w:rPr>
        <w:t xml:space="preserve">they issued owner-directed change orders adjusting the project scope, but generally experienced fewer contractor-initiated claims compared to a typical DBB project. </w:t>
      </w:r>
    </w:p>
    <w:p w14:paraId="171B6CF3" w14:textId="6DDEF5AA" w:rsidR="009C6502" w:rsidRPr="00712EFA" w:rsidRDefault="00A25734" w:rsidP="00A95427">
      <w:pPr>
        <w:jc w:val="both"/>
        <w:rPr>
          <w:rFonts w:cs="Arial"/>
          <w:szCs w:val="20"/>
        </w:rPr>
      </w:pPr>
      <w:r w:rsidRPr="00712EFA">
        <w:rPr>
          <w:rFonts w:cs="Arial"/>
          <w:szCs w:val="20"/>
        </w:rPr>
        <w:t>PennDOT has</w:t>
      </w:r>
      <w:r w:rsidR="009C6502" w:rsidRPr="00712EFA">
        <w:rPr>
          <w:rFonts w:cs="Arial"/>
          <w:szCs w:val="20"/>
        </w:rPr>
        <w:t xml:space="preserve"> experienced a reduction in </w:t>
      </w:r>
      <w:r w:rsidRPr="00712EFA">
        <w:rPr>
          <w:rFonts w:cs="Arial"/>
          <w:szCs w:val="20"/>
        </w:rPr>
        <w:t xml:space="preserve">cost </w:t>
      </w:r>
      <w:r w:rsidR="009C6502" w:rsidRPr="00712EFA">
        <w:rPr>
          <w:rFonts w:cs="Arial"/>
          <w:szCs w:val="20"/>
        </w:rPr>
        <w:t xml:space="preserve">overruns and change orders using DB compared to DBB. However, PennDOT receives about the same number of claims on both types of delivery methods, although the nature of the claims in DB is different than DBB. The most substantial DB claims have involved delays in </w:t>
      </w:r>
      <w:r w:rsidR="008521C8">
        <w:rPr>
          <w:rFonts w:cs="Arial"/>
          <w:szCs w:val="20"/>
        </w:rPr>
        <w:t>ROW</w:t>
      </w:r>
      <w:r w:rsidR="009C6502" w:rsidRPr="00712EFA">
        <w:rPr>
          <w:rFonts w:cs="Arial"/>
          <w:szCs w:val="20"/>
        </w:rPr>
        <w:t xml:space="preserve"> acquisition and utility relocations.</w:t>
      </w:r>
    </w:p>
    <w:p w14:paraId="724A5CA2" w14:textId="6D503431" w:rsidR="00E1374B" w:rsidRPr="00712EFA" w:rsidRDefault="009C6502" w:rsidP="00A95427">
      <w:pPr>
        <w:jc w:val="both"/>
        <w:rPr>
          <w:rFonts w:cs="Arial"/>
          <w:szCs w:val="20"/>
          <w:u w:val="single"/>
        </w:rPr>
      </w:pPr>
      <w:r w:rsidRPr="00712EFA">
        <w:rPr>
          <w:rFonts w:cs="Arial"/>
          <w:szCs w:val="20"/>
          <w:u w:val="single"/>
        </w:rPr>
        <w:t>Environmental Experience</w:t>
      </w:r>
    </w:p>
    <w:p w14:paraId="7B91EBA2" w14:textId="1A06AAA8" w:rsidR="00AC17A8" w:rsidRPr="00712EFA" w:rsidRDefault="009C6502" w:rsidP="00A95427">
      <w:pPr>
        <w:jc w:val="both"/>
        <w:rPr>
          <w:rFonts w:cs="Arial"/>
          <w:szCs w:val="20"/>
        </w:rPr>
      </w:pPr>
      <w:r w:rsidRPr="00712EFA">
        <w:rPr>
          <w:rFonts w:cs="Arial"/>
          <w:szCs w:val="20"/>
        </w:rPr>
        <w:t>On DB projects, PennDOT noted</w:t>
      </w:r>
      <w:r w:rsidR="00AC029B">
        <w:rPr>
          <w:rFonts w:cs="Arial"/>
          <w:szCs w:val="20"/>
        </w:rPr>
        <w:t xml:space="preserve"> that</w:t>
      </w:r>
      <w:r w:rsidRPr="00712EFA">
        <w:rPr>
          <w:rFonts w:cs="Arial"/>
          <w:szCs w:val="20"/>
        </w:rPr>
        <w:t xml:space="preserve"> they typically complete the NEPA process </w:t>
      </w:r>
      <w:r w:rsidR="00491901">
        <w:rPr>
          <w:rFonts w:cs="Arial"/>
          <w:szCs w:val="20"/>
        </w:rPr>
        <w:t>with</w:t>
      </w:r>
      <w:r w:rsidRPr="00712EFA">
        <w:rPr>
          <w:rFonts w:cs="Arial"/>
          <w:szCs w:val="20"/>
        </w:rPr>
        <w:t xml:space="preserve"> the completion o</w:t>
      </w:r>
      <w:r w:rsidR="00AC17A8" w:rsidRPr="00712EFA">
        <w:rPr>
          <w:rFonts w:cs="Arial"/>
          <w:szCs w:val="20"/>
        </w:rPr>
        <w:t>f</w:t>
      </w:r>
      <w:r w:rsidRPr="00712EFA">
        <w:rPr>
          <w:rFonts w:cs="Arial"/>
          <w:szCs w:val="20"/>
        </w:rPr>
        <w:t xml:space="preserve"> conceptual plans</w:t>
      </w:r>
      <w:r w:rsidR="00AC17A8" w:rsidRPr="00712EFA">
        <w:rPr>
          <w:rFonts w:cs="Arial"/>
          <w:szCs w:val="20"/>
        </w:rPr>
        <w:t>, and thus ha</w:t>
      </w:r>
      <w:r w:rsidR="008521C8">
        <w:rPr>
          <w:rFonts w:cs="Arial"/>
          <w:szCs w:val="20"/>
        </w:rPr>
        <w:t>ve</w:t>
      </w:r>
      <w:r w:rsidR="00AC17A8" w:rsidRPr="00712EFA">
        <w:rPr>
          <w:rFonts w:cs="Arial"/>
          <w:szCs w:val="20"/>
        </w:rPr>
        <w:t xml:space="preserve"> not experience</w:t>
      </w:r>
      <w:r w:rsidR="00D42329">
        <w:rPr>
          <w:rFonts w:cs="Arial"/>
          <w:szCs w:val="20"/>
        </w:rPr>
        <w:t>d</w:t>
      </w:r>
      <w:r w:rsidR="00AC17A8" w:rsidRPr="00712EFA">
        <w:rPr>
          <w:rFonts w:cs="Arial"/>
          <w:szCs w:val="20"/>
        </w:rPr>
        <w:t xml:space="preserve"> any noticeable difference in environmental clearance times between DB and DBB projects.</w:t>
      </w:r>
    </w:p>
    <w:p w14:paraId="6C87AC12" w14:textId="366F3529" w:rsidR="00AC17A8" w:rsidRPr="00712EFA" w:rsidRDefault="00AC17A8" w:rsidP="00A95427">
      <w:pPr>
        <w:jc w:val="both"/>
        <w:rPr>
          <w:rFonts w:cs="Arial"/>
          <w:szCs w:val="20"/>
        </w:rPr>
      </w:pPr>
      <w:r w:rsidRPr="00712EFA">
        <w:rPr>
          <w:rFonts w:cs="Arial"/>
          <w:szCs w:val="20"/>
        </w:rPr>
        <w:t xml:space="preserve">For the RBR P3 project, </w:t>
      </w:r>
      <w:r w:rsidR="00AF589E">
        <w:rPr>
          <w:rFonts w:cs="Arial"/>
          <w:szCs w:val="20"/>
        </w:rPr>
        <w:t xml:space="preserve">using the </w:t>
      </w:r>
      <w:r w:rsidR="00AF589E" w:rsidRPr="00712EFA">
        <w:rPr>
          <w:rFonts w:cs="Arial"/>
          <w:szCs w:val="20"/>
        </w:rPr>
        <w:t>USDOT Special Experimental Project (SEP)-15 program</w:t>
      </w:r>
      <w:r w:rsidR="00D4469A">
        <w:rPr>
          <w:rFonts w:cs="Arial"/>
          <w:szCs w:val="20"/>
        </w:rPr>
        <w:t>,</w:t>
      </w:r>
      <w:r w:rsidR="008521C8">
        <w:rPr>
          <w:rFonts w:cs="Arial"/>
          <w:szCs w:val="20"/>
        </w:rPr>
        <w:t xml:space="preserve"> </w:t>
      </w:r>
      <w:r w:rsidRPr="00712EFA">
        <w:rPr>
          <w:rFonts w:cs="Arial"/>
          <w:szCs w:val="20"/>
        </w:rPr>
        <w:t xml:space="preserve">PennDOT executed an early development agreement </w:t>
      </w:r>
      <w:r w:rsidR="00D4469A">
        <w:rPr>
          <w:rFonts w:cs="Arial"/>
          <w:szCs w:val="20"/>
        </w:rPr>
        <w:t xml:space="preserve">in 2014 </w:t>
      </w:r>
      <w:r w:rsidRPr="00712EFA">
        <w:rPr>
          <w:rFonts w:cs="Arial"/>
          <w:szCs w:val="20"/>
        </w:rPr>
        <w:t>that, under PennDOT’s supervision, transferred the responsibility to obtain environmental clearances and waterway permits to the D</w:t>
      </w:r>
      <w:r w:rsidR="00945A85">
        <w:rPr>
          <w:rFonts w:cs="Arial"/>
          <w:szCs w:val="20"/>
        </w:rPr>
        <w:t>eveloper</w:t>
      </w:r>
      <w:r w:rsidRPr="00712EFA">
        <w:rPr>
          <w:rFonts w:cs="Arial"/>
          <w:szCs w:val="20"/>
        </w:rPr>
        <w:t xml:space="preserve">. </w:t>
      </w:r>
      <w:r w:rsidR="002070F0" w:rsidRPr="00712EFA">
        <w:rPr>
          <w:rFonts w:cs="Arial"/>
          <w:szCs w:val="20"/>
        </w:rPr>
        <w:t xml:space="preserve">23 CFR 636 </w:t>
      </w:r>
      <w:r w:rsidR="00897E72">
        <w:rPr>
          <w:rFonts w:cs="Arial"/>
          <w:szCs w:val="20"/>
        </w:rPr>
        <w:t xml:space="preserve">generally </w:t>
      </w:r>
      <w:r w:rsidR="002070F0" w:rsidRPr="00712EFA">
        <w:rPr>
          <w:rFonts w:cs="Arial"/>
          <w:szCs w:val="20"/>
        </w:rPr>
        <w:t xml:space="preserve">prohibits a private contractor from </w:t>
      </w:r>
      <w:r w:rsidR="002C76BD">
        <w:rPr>
          <w:rFonts w:cs="Arial"/>
          <w:szCs w:val="20"/>
        </w:rPr>
        <w:t>preparing</w:t>
      </w:r>
      <w:r w:rsidR="002070F0" w:rsidRPr="00712EFA">
        <w:rPr>
          <w:rFonts w:cs="Arial"/>
          <w:szCs w:val="20"/>
        </w:rPr>
        <w:t xml:space="preserve"> NEPA clearance</w:t>
      </w:r>
      <w:r w:rsidR="007A0B33">
        <w:rPr>
          <w:rFonts w:cs="Arial"/>
          <w:szCs w:val="20"/>
        </w:rPr>
        <w:t xml:space="preserve"> for a project</w:t>
      </w:r>
      <w:r w:rsidR="002070F0" w:rsidRPr="00712EFA">
        <w:rPr>
          <w:rFonts w:cs="Arial"/>
          <w:szCs w:val="20"/>
        </w:rPr>
        <w:t>, so t</w:t>
      </w:r>
      <w:r w:rsidRPr="00712EFA">
        <w:rPr>
          <w:rFonts w:cs="Arial"/>
          <w:szCs w:val="20"/>
        </w:rPr>
        <w:t>he premise of this experiment is that there would be efficiencies gained in the time required and cost to obtain NEPA clearance</w:t>
      </w:r>
      <w:r w:rsidR="007A0B33">
        <w:rPr>
          <w:rFonts w:cs="Arial"/>
          <w:szCs w:val="20"/>
        </w:rPr>
        <w:t>.</w:t>
      </w:r>
      <w:r w:rsidR="008521C8">
        <w:rPr>
          <w:rFonts w:cs="Arial"/>
          <w:szCs w:val="20"/>
        </w:rPr>
        <w:t xml:space="preserve"> </w:t>
      </w:r>
      <w:r w:rsidR="00CC588B">
        <w:rPr>
          <w:rFonts w:cs="Arial"/>
          <w:szCs w:val="20"/>
        </w:rPr>
        <w:t>Further, the goal was to employ</w:t>
      </w:r>
      <w:r w:rsidRPr="00712EFA">
        <w:rPr>
          <w:rFonts w:cs="Arial"/>
          <w:szCs w:val="20"/>
        </w:rPr>
        <w:t xml:space="preserve"> these efficiencies a</w:t>
      </w:r>
      <w:r w:rsidR="00CC588B">
        <w:rPr>
          <w:rFonts w:cs="Arial"/>
          <w:szCs w:val="20"/>
        </w:rPr>
        <w:t>nd</w:t>
      </w:r>
      <w:r w:rsidRPr="00712EFA">
        <w:rPr>
          <w:rFonts w:cs="Arial"/>
          <w:szCs w:val="20"/>
        </w:rPr>
        <w:t xml:space="preserve"> experimental changes to the NEPA process </w:t>
      </w:r>
      <w:r w:rsidR="00CC588B">
        <w:rPr>
          <w:rFonts w:cs="Arial"/>
          <w:szCs w:val="20"/>
        </w:rPr>
        <w:t>without</w:t>
      </w:r>
      <w:r w:rsidRPr="00712EFA">
        <w:rPr>
          <w:rFonts w:cs="Arial"/>
          <w:szCs w:val="20"/>
        </w:rPr>
        <w:t xml:space="preserve"> compromis</w:t>
      </w:r>
      <w:r w:rsidR="00CC588B">
        <w:rPr>
          <w:rFonts w:cs="Arial"/>
          <w:szCs w:val="20"/>
        </w:rPr>
        <w:t>ing</w:t>
      </w:r>
      <w:r w:rsidRPr="00712EFA">
        <w:rPr>
          <w:rFonts w:cs="Arial"/>
          <w:szCs w:val="20"/>
        </w:rPr>
        <w:t xml:space="preserve"> the quality or integrity of the process or documentation. Using a series of similar projects for which NEPA was completed by PennDOT </w:t>
      </w:r>
      <w:r w:rsidR="00FA52FC">
        <w:rPr>
          <w:rFonts w:cs="Arial"/>
          <w:szCs w:val="20"/>
        </w:rPr>
        <w:t>under</w:t>
      </w:r>
      <w:r w:rsidRPr="00712EFA">
        <w:rPr>
          <w:rFonts w:cs="Arial"/>
          <w:szCs w:val="20"/>
        </w:rPr>
        <w:t xml:space="preserve"> the traditional NEPA process as a baseline for comparison, </w:t>
      </w:r>
      <w:r w:rsidR="00FA52FC">
        <w:rPr>
          <w:rFonts w:cs="Arial"/>
          <w:szCs w:val="20"/>
        </w:rPr>
        <w:t>PennDOT</w:t>
      </w:r>
      <w:r w:rsidRPr="00712EFA">
        <w:rPr>
          <w:rFonts w:cs="Arial"/>
          <w:szCs w:val="20"/>
        </w:rPr>
        <w:t xml:space="preserve"> determined that the experimental process resulted in cost savings of approximately $1.2 million for the 558 bridges and the overall project was completed 2.5 months quicker.   </w:t>
      </w:r>
    </w:p>
    <w:p w14:paraId="293CCCCB" w14:textId="1BAA896D" w:rsidR="00AC17A8" w:rsidRPr="00712EFA" w:rsidRDefault="00AC17A8" w:rsidP="00A95427">
      <w:pPr>
        <w:jc w:val="both"/>
        <w:rPr>
          <w:rFonts w:cs="Arial"/>
          <w:szCs w:val="20"/>
        </w:rPr>
      </w:pPr>
      <w:r w:rsidRPr="00712EFA">
        <w:rPr>
          <w:rFonts w:cs="Arial"/>
          <w:szCs w:val="20"/>
        </w:rPr>
        <w:t xml:space="preserve">PennDOT explained some of the key lessons learned both through project management and a NEPA lens. Examples included: </w:t>
      </w:r>
    </w:p>
    <w:p w14:paraId="124DE6AA" w14:textId="41C1565B" w:rsidR="00AC17A8" w:rsidRPr="00712EFA" w:rsidRDefault="00AC17A8" w:rsidP="00A95427">
      <w:pPr>
        <w:pStyle w:val="ListParagraph"/>
        <w:numPr>
          <w:ilvl w:val="0"/>
          <w:numId w:val="6"/>
        </w:numPr>
        <w:jc w:val="both"/>
        <w:rPr>
          <w:rFonts w:cs="Arial"/>
          <w:szCs w:val="20"/>
        </w:rPr>
      </w:pPr>
      <w:r w:rsidRPr="00712EFA">
        <w:rPr>
          <w:rFonts w:cs="Arial"/>
          <w:szCs w:val="20"/>
        </w:rPr>
        <w:t>Ensure the D</w:t>
      </w:r>
      <w:r w:rsidR="00010366">
        <w:rPr>
          <w:rFonts w:cs="Arial"/>
          <w:szCs w:val="20"/>
        </w:rPr>
        <w:t>eveloper</w:t>
      </w:r>
      <w:r w:rsidRPr="00712EFA">
        <w:rPr>
          <w:rFonts w:cs="Arial"/>
          <w:szCs w:val="20"/>
        </w:rPr>
        <w:t xml:space="preserve"> fully understands</w:t>
      </w:r>
      <w:r w:rsidR="00001CA4">
        <w:rPr>
          <w:rFonts w:cs="Arial"/>
          <w:szCs w:val="20"/>
        </w:rPr>
        <w:t xml:space="preserve"> the</w:t>
      </w:r>
      <w:r w:rsidRPr="00712EFA">
        <w:rPr>
          <w:rFonts w:cs="Arial"/>
          <w:szCs w:val="20"/>
        </w:rPr>
        <w:t xml:space="preserve"> importance of public outreach and coordination with public/governmental stakeholder</w:t>
      </w:r>
      <w:r w:rsidR="002070F0" w:rsidRPr="00712EFA">
        <w:rPr>
          <w:rFonts w:cs="Arial"/>
          <w:szCs w:val="20"/>
        </w:rPr>
        <w:t>s;</w:t>
      </w:r>
    </w:p>
    <w:p w14:paraId="761EE94F" w14:textId="4304419E" w:rsidR="002070F0" w:rsidRPr="00712EFA" w:rsidRDefault="002070F0" w:rsidP="00A95427">
      <w:pPr>
        <w:pStyle w:val="ListParagraph"/>
        <w:numPr>
          <w:ilvl w:val="0"/>
          <w:numId w:val="6"/>
        </w:numPr>
        <w:jc w:val="both"/>
        <w:rPr>
          <w:rFonts w:cs="Arial"/>
          <w:szCs w:val="20"/>
        </w:rPr>
      </w:pPr>
      <w:r w:rsidRPr="00712EFA">
        <w:rPr>
          <w:rFonts w:cs="Arial"/>
          <w:szCs w:val="20"/>
        </w:rPr>
        <w:t xml:space="preserve">A template/report format to streamline </w:t>
      </w:r>
      <w:r w:rsidR="006B7580">
        <w:rPr>
          <w:rFonts w:cs="Arial"/>
          <w:szCs w:val="20"/>
        </w:rPr>
        <w:t>the process of preparing i</w:t>
      </w:r>
      <w:r w:rsidRPr="00712EFA">
        <w:rPr>
          <w:rFonts w:cs="Arial"/>
          <w:szCs w:val="20"/>
        </w:rPr>
        <w:t xml:space="preserve">ndividual Section 4(f) documents </w:t>
      </w:r>
      <w:r w:rsidR="00C5692C">
        <w:rPr>
          <w:rFonts w:cs="Arial"/>
          <w:szCs w:val="20"/>
        </w:rPr>
        <w:t>can</w:t>
      </w:r>
      <w:r w:rsidRPr="00712EFA">
        <w:rPr>
          <w:rFonts w:cs="Arial"/>
          <w:szCs w:val="20"/>
        </w:rPr>
        <w:t xml:space="preserve"> help save time and money</w:t>
      </w:r>
      <w:r w:rsidR="00C5692C">
        <w:rPr>
          <w:rFonts w:cs="Arial"/>
          <w:szCs w:val="20"/>
        </w:rPr>
        <w:t xml:space="preserve"> so long as all requirements of NEPA are considered for the specific project</w:t>
      </w:r>
      <w:r w:rsidR="00FF6783">
        <w:rPr>
          <w:rFonts w:cs="Arial"/>
          <w:szCs w:val="20"/>
        </w:rPr>
        <w:t xml:space="preserve"> and all project-specific factors are considered for each evaluation</w:t>
      </w:r>
      <w:r w:rsidRPr="00712EFA">
        <w:rPr>
          <w:rFonts w:cs="Arial"/>
          <w:szCs w:val="20"/>
        </w:rPr>
        <w:t xml:space="preserve">; and </w:t>
      </w:r>
    </w:p>
    <w:p w14:paraId="2C9623DF" w14:textId="62AC6134" w:rsidR="00B4454C" w:rsidRPr="00712EFA" w:rsidRDefault="00B94628" w:rsidP="00A95427">
      <w:pPr>
        <w:pStyle w:val="ListParagraph"/>
        <w:numPr>
          <w:ilvl w:val="0"/>
          <w:numId w:val="1"/>
        </w:numPr>
        <w:jc w:val="both"/>
        <w:rPr>
          <w:rFonts w:cs="Arial"/>
          <w:szCs w:val="20"/>
        </w:rPr>
      </w:pPr>
      <w:r w:rsidRPr="00712EFA">
        <w:rPr>
          <w:rFonts w:cs="Arial"/>
          <w:szCs w:val="20"/>
        </w:rPr>
        <w:lastRenderedPageBreak/>
        <w:t>Establish a</w:t>
      </w:r>
      <w:r w:rsidR="00B4454C" w:rsidRPr="00712EFA">
        <w:rPr>
          <w:rFonts w:cs="Arial"/>
          <w:szCs w:val="20"/>
        </w:rPr>
        <w:t xml:space="preserve"> </w:t>
      </w:r>
      <w:r w:rsidR="00A81BC7" w:rsidRPr="00712EFA">
        <w:rPr>
          <w:rFonts w:cs="Arial"/>
          <w:szCs w:val="20"/>
        </w:rPr>
        <w:t>specific</w:t>
      </w:r>
      <w:r w:rsidR="00B4454C" w:rsidRPr="00712EFA">
        <w:rPr>
          <w:rFonts w:cs="Arial"/>
          <w:szCs w:val="20"/>
        </w:rPr>
        <w:t xml:space="preserve"> review period </w:t>
      </w:r>
      <w:r w:rsidR="00A81BC7" w:rsidRPr="00712EFA">
        <w:rPr>
          <w:rFonts w:cs="Arial"/>
          <w:szCs w:val="20"/>
        </w:rPr>
        <w:t>time to</w:t>
      </w:r>
      <w:r w:rsidR="00B4454C" w:rsidRPr="00712EFA">
        <w:rPr>
          <w:rFonts w:cs="Arial"/>
          <w:szCs w:val="20"/>
        </w:rPr>
        <w:t xml:space="preserve"> maintain coordination</w:t>
      </w:r>
      <w:r w:rsidR="00A81BC7" w:rsidRPr="00712EFA">
        <w:rPr>
          <w:rFonts w:cs="Arial"/>
          <w:szCs w:val="20"/>
        </w:rPr>
        <w:t xml:space="preserve"> with</w:t>
      </w:r>
      <w:r w:rsidR="00B4454C" w:rsidRPr="00712EFA">
        <w:rPr>
          <w:rFonts w:cs="Arial"/>
          <w:szCs w:val="20"/>
        </w:rPr>
        <w:t xml:space="preserve"> outside agencies</w:t>
      </w:r>
      <w:r w:rsidR="00A81BC7" w:rsidRPr="00712EFA">
        <w:rPr>
          <w:rFonts w:cs="Arial"/>
          <w:szCs w:val="20"/>
        </w:rPr>
        <w:t xml:space="preserve"> and prevent prolonged back and forth review periods.</w:t>
      </w:r>
    </w:p>
    <w:p w14:paraId="2C481F6A" w14:textId="3A4DDCE0" w:rsidR="00B4454C" w:rsidRPr="00712EFA" w:rsidRDefault="002070F0" w:rsidP="00A95427">
      <w:pPr>
        <w:jc w:val="both"/>
        <w:rPr>
          <w:rFonts w:cs="Arial"/>
          <w:szCs w:val="20"/>
        </w:rPr>
      </w:pPr>
      <w:r w:rsidRPr="00712EFA">
        <w:rPr>
          <w:rFonts w:cs="Arial"/>
          <w:szCs w:val="20"/>
        </w:rPr>
        <w:t>PennDOT concluded by provid</w:t>
      </w:r>
      <w:r w:rsidR="00B64AA4" w:rsidRPr="00712EFA">
        <w:rPr>
          <w:rFonts w:cs="Arial"/>
          <w:szCs w:val="20"/>
        </w:rPr>
        <w:t xml:space="preserve">ing </w:t>
      </w:r>
      <w:r w:rsidRPr="00712EFA">
        <w:rPr>
          <w:rFonts w:cs="Arial"/>
          <w:szCs w:val="20"/>
        </w:rPr>
        <w:t>key project selection factors</w:t>
      </w:r>
      <w:r w:rsidR="009F6E53" w:rsidRPr="00712EFA">
        <w:rPr>
          <w:rFonts w:cs="Arial"/>
          <w:szCs w:val="20"/>
        </w:rPr>
        <w:t xml:space="preserve"> for </w:t>
      </w:r>
      <w:r w:rsidR="00DE7009" w:rsidRPr="00712EFA">
        <w:rPr>
          <w:rFonts w:cs="Arial"/>
          <w:szCs w:val="20"/>
        </w:rPr>
        <w:t>DB</w:t>
      </w:r>
      <w:r w:rsidR="003B1E1A" w:rsidRPr="00712EFA">
        <w:rPr>
          <w:rFonts w:cs="Arial"/>
          <w:szCs w:val="20"/>
        </w:rPr>
        <w:t xml:space="preserve">. </w:t>
      </w:r>
      <w:r w:rsidR="00D97850">
        <w:rPr>
          <w:rFonts w:cs="Arial"/>
          <w:szCs w:val="20"/>
        </w:rPr>
        <w:t>Key factors</w:t>
      </w:r>
      <w:r w:rsidR="003B1E1A" w:rsidRPr="00712EFA">
        <w:rPr>
          <w:rFonts w:cs="Arial"/>
          <w:szCs w:val="20"/>
        </w:rPr>
        <w:t xml:space="preserve"> </w:t>
      </w:r>
      <w:r w:rsidRPr="00712EFA">
        <w:rPr>
          <w:rFonts w:cs="Arial"/>
          <w:szCs w:val="20"/>
        </w:rPr>
        <w:t>include</w:t>
      </w:r>
      <w:r w:rsidR="00DE7009" w:rsidRPr="00712EFA">
        <w:rPr>
          <w:rFonts w:cs="Arial"/>
          <w:szCs w:val="20"/>
        </w:rPr>
        <w:t>:</w:t>
      </w:r>
      <w:r w:rsidRPr="00712EFA">
        <w:rPr>
          <w:rFonts w:cs="Arial"/>
          <w:szCs w:val="20"/>
        </w:rPr>
        <w:t xml:space="preserve"> </w:t>
      </w:r>
    </w:p>
    <w:p w14:paraId="5E674E9E" w14:textId="7204C679" w:rsidR="009F6E53" w:rsidRPr="00712EFA" w:rsidRDefault="009E7DDD" w:rsidP="00A95427">
      <w:pPr>
        <w:pStyle w:val="ListParagraph"/>
        <w:numPr>
          <w:ilvl w:val="0"/>
          <w:numId w:val="1"/>
        </w:numPr>
        <w:jc w:val="both"/>
        <w:rPr>
          <w:rFonts w:cs="Arial"/>
          <w:szCs w:val="20"/>
        </w:rPr>
      </w:pPr>
      <w:r>
        <w:rPr>
          <w:rFonts w:cs="Arial"/>
          <w:szCs w:val="20"/>
        </w:rPr>
        <w:t>A</w:t>
      </w:r>
      <w:r w:rsidR="00583A39">
        <w:rPr>
          <w:rFonts w:cs="Arial"/>
          <w:szCs w:val="20"/>
        </w:rPr>
        <w:t xml:space="preserve"> </w:t>
      </w:r>
      <w:r w:rsidR="00E26860" w:rsidRPr="00712EFA">
        <w:rPr>
          <w:rFonts w:cs="Arial"/>
          <w:szCs w:val="20"/>
        </w:rPr>
        <w:t>complex scope of work</w:t>
      </w:r>
      <w:r w:rsidR="009F6E53" w:rsidRPr="00712EFA">
        <w:rPr>
          <w:rFonts w:cs="Arial"/>
          <w:szCs w:val="20"/>
        </w:rPr>
        <w:t>;</w:t>
      </w:r>
      <w:r w:rsidR="00E26860" w:rsidRPr="00712EFA">
        <w:rPr>
          <w:rFonts w:cs="Arial"/>
          <w:szCs w:val="20"/>
        </w:rPr>
        <w:t xml:space="preserve"> </w:t>
      </w:r>
    </w:p>
    <w:p w14:paraId="5D1F1EF2" w14:textId="12649D4F" w:rsidR="009F6E53" w:rsidRPr="00712EFA" w:rsidRDefault="00D97850" w:rsidP="00A95427">
      <w:pPr>
        <w:pStyle w:val="ListParagraph"/>
        <w:numPr>
          <w:ilvl w:val="0"/>
          <w:numId w:val="1"/>
        </w:numPr>
        <w:jc w:val="both"/>
        <w:rPr>
          <w:rFonts w:cs="Arial"/>
          <w:szCs w:val="20"/>
        </w:rPr>
      </w:pPr>
      <w:r>
        <w:rPr>
          <w:rFonts w:cs="Arial"/>
          <w:szCs w:val="20"/>
        </w:rPr>
        <w:t>Where e</w:t>
      </w:r>
      <w:r w:rsidR="00E26860" w:rsidRPr="00712EFA">
        <w:rPr>
          <w:rFonts w:cs="Arial"/>
          <w:szCs w:val="20"/>
        </w:rPr>
        <w:t>xpedited completion</w:t>
      </w:r>
      <w:r w:rsidR="003B1E1A" w:rsidRPr="00712EFA">
        <w:rPr>
          <w:rFonts w:cs="Arial"/>
          <w:szCs w:val="20"/>
        </w:rPr>
        <w:t xml:space="preserve"> benefits the project</w:t>
      </w:r>
      <w:r w:rsidR="009F6E53" w:rsidRPr="00712EFA">
        <w:rPr>
          <w:rFonts w:cs="Arial"/>
          <w:szCs w:val="20"/>
        </w:rPr>
        <w:t>;</w:t>
      </w:r>
    </w:p>
    <w:p w14:paraId="09073CEF" w14:textId="38F38D55" w:rsidR="009F6E53" w:rsidRPr="00712EFA" w:rsidRDefault="009E7DDD" w:rsidP="00A95427">
      <w:pPr>
        <w:pStyle w:val="ListParagraph"/>
        <w:numPr>
          <w:ilvl w:val="0"/>
          <w:numId w:val="1"/>
        </w:numPr>
        <w:jc w:val="both"/>
        <w:rPr>
          <w:rFonts w:cs="Arial"/>
          <w:szCs w:val="20"/>
        </w:rPr>
      </w:pPr>
      <w:r>
        <w:rPr>
          <w:rFonts w:cs="Arial"/>
          <w:szCs w:val="20"/>
        </w:rPr>
        <w:t>Where t</w:t>
      </w:r>
      <w:r w:rsidR="003B1E1A" w:rsidRPr="00712EFA">
        <w:rPr>
          <w:rFonts w:cs="Arial"/>
          <w:szCs w:val="20"/>
        </w:rPr>
        <w:t>here is a need for ATCs and innovative solutions</w:t>
      </w:r>
      <w:r w:rsidR="009F6E53" w:rsidRPr="00712EFA">
        <w:rPr>
          <w:rFonts w:cs="Arial"/>
          <w:szCs w:val="20"/>
        </w:rPr>
        <w:t>; and</w:t>
      </w:r>
    </w:p>
    <w:p w14:paraId="638F6BA0" w14:textId="753F34FD" w:rsidR="00E26860" w:rsidRPr="00712EFA" w:rsidRDefault="00E26860" w:rsidP="00A95427">
      <w:pPr>
        <w:pStyle w:val="ListParagraph"/>
        <w:numPr>
          <w:ilvl w:val="0"/>
          <w:numId w:val="1"/>
        </w:numPr>
        <w:jc w:val="both"/>
        <w:rPr>
          <w:rFonts w:cs="Arial"/>
          <w:szCs w:val="20"/>
        </w:rPr>
      </w:pPr>
      <w:r w:rsidRPr="00712EFA">
        <w:rPr>
          <w:rFonts w:cs="Arial"/>
          <w:szCs w:val="20"/>
        </w:rPr>
        <w:t xml:space="preserve">ROW requirements and </w:t>
      </w:r>
      <w:r w:rsidR="003B1E1A" w:rsidRPr="00712EFA">
        <w:rPr>
          <w:rFonts w:cs="Arial"/>
          <w:szCs w:val="20"/>
        </w:rPr>
        <w:t>utility</w:t>
      </w:r>
      <w:r w:rsidRPr="00712EFA">
        <w:rPr>
          <w:rFonts w:cs="Arial"/>
          <w:szCs w:val="20"/>
        </w:rPr>
        <w:t xml:space="preserve"> </w:t>
      </w:r>
      <w:r w:rsidR="004E5BA6" w:rsidRPr="00712EFA">
        <w:rPr>
          <w:rFonts w:cs="Arial"/>
          <w:szCs w:val="20"/>
        </w:rPr>
        <w:t>coordination</w:t>
      </w:r>
      <w:r w:rsidRPr="00712EFA">
        <w:rPr>
          <w:rFonts w:cs="Arial"/>
          <w:szCs w:val="20"/>
        </w:rPr>
        <w:t xml:space="preserve"> </w:t>
      </w:r>
      <w:r w:rsidR="003B1E1A" w:rsidRPr="00712EFA">
        <w:rPr>
          <w:rFonts w:cs="Arial"/>
          <w:szCs w:val="20"/>
        </w:rPr>
        <w:t xml:space="preserve">are minimal or not extensive. </w:t>
      </w:r>
    </w:p>
    <w:p w14:paraId="090326CF" w14:textId="77777777" w:rsidR="003B1E1A" w:rsidRPr="00712EFA" w:rsidRDefault="003B1E1A" w:rsidP="00A95427">
      <w:pPr>
        <w:jc w:val="both"/>
        <w:rPr>
          <w:rFonts w:cs="Arial"/>
          <w:szCs w:val="20"/>
        </w:rPr>
      </w:pPr>
      <w:r w:rsidRPr="00712EFA">
        <w:rPr>
          <w:rFonts w:cs="Arial"/>
          <w:szCs w:val="20"/>
        </w:rPr>
        <w:t xml:space="preserve">Key selection factors to use the P3 delivery method include: </w:t>
      </w:r>
    </w:p>
    <w:p w14:paraId="2150CF78" w14:textId="77777777" w:rsidR="003B1E1A" w:rsidRPr="00712EFA" w:rsidRDefault="003B1E1A" w:rsidP="00A95427">
      <w:pPr>
        <w:pStyle w:val="ListParagraph"/>
        <w:numPr>
          <w:ilvl w:val="0"/>
          <w:numId w:val="11"/>
        </w:numPr>
        <w:jc w:val="both"/>
        <w:rPr>
          <w:rFonts w:cs="Arial"/>
          <w:szCs w:val="20"/>
        </w:rPr>
      </w:pPr>
      <w:r w:rsidRPr="00712EFA">
        <w:rPr>
          <w:rFonts w:cs="Arial"/>
          <w:szCs w:val="20"/>
        </w:rPr>
        <w:t xml:space="preserve">The need for </w:t>
      </w:r>
      <w:r w:rsidR="00E26860" w:rsidRPr="00712EFA">
        <w:rPr>
          <w:rFonts w:cs="Arial"/>
          <w:szCs w:val="20"/>
        </w:rPr>
        <w:t>private f</w:t>
      </w:r>
      <w:r w:rsidRPr="00712EFA">
        <w:rPr>
          <w:rFonts w:cs="Arial"/>
          <w:szCs w:val="20"/>
        </w:rPr>
        <w:t>inancing upfront;</w:t>
      </w:r>
    </w:p>
    <w:p w14:paraId="05E0345D" w14:textId="77777777" w:rsidR="003B1E1A" w:rsidRPr="00712EFA" w:rsidRDefault="003B1E1A" w:rsidP="00A95427">
      <w:pPr>
        <w:pStyle w:val="ListParagraph"/>
        <w:numPr>
          <w:ilvl w:val="0"/>
          <w:numId w:val="11"/>
        </w:numPr>
        <w:jc w:val="both"/>
        <w:rPr>
          <w:rFonts w:cs="Arial"/>
          <w:szCs w:val="20"/>
        </w:rPr>
      </w:pPr>
      <w:r w:rsidRPr="00712EFA">
        <w:rPr>
          <w:rFonts w:cs="Arial"/>
          <w:szCs w:val="20"/>
        </w:rPr>
        <w:t xml:space="preserve">The ability to address </w:t>
      </w:r>
      <w:r w:rsidR="00E26860" w:rsidRPr="00712EFA">
        <w:rPr>
          <w:rFonts w:cs="Arial"/>
          <w:szCs w:val="20"/>
        </w:rPr>
        <w:t>serious problem</w:t>
      </w:r>
      <w:r w:rsidRPr="00712EFA">
        <w:rPr>
          <w:rFonts w:cs="Arial"/>
          <w:szCs w:val="20"/>
        </w:rPr>
        <w:t>s</w:t>
      </w:r>
      <w:r w:rsidR="00E26860" w:rsidRPr="00712EFA">
        <w:rPr>
          <w:rFonts w:cs="Arial"/>
          <w:szCs w:val="20"/>
        </w:rPr>
        <w:t xml:space="preserve"> sooner</w:t>
      </w:r>
      <w:r w:rsidRPr="00712EFA">
        <w:rPr>
          <w:rFonts w:cs="Arial"/>
          <w:szCs w:val="20"/>
        </w:rPr>
        <w:t>;</w:t>
      </w:r>
    </w:p>
    <w:p w14:paraId="7019C720" w14:textId="36C796C3" w:rsidR="003B1E1A" w:rsidRPr="00712EFA" w:rsidRDefault="00E26860" w:rsidP="00A95427">
      <w:pPr>
        <w:pStyle w:val="ListParagraph"/>
        <w:numPr>
          <w:ilvl w:val="0"/>
          <w:numId w:val="11"/>
        </w:numPr>
        <w:jc w:val="both"/>
        <w:rPr>
          <w:rFonts w:cs="Arial"/>
          <w:szCs w:val="20"/>
        </w:rPr>
      </w:pPr>
      <w:r w:rsidRPr="00712EFA">
        <w:rPr>
          <w:rFonts w:cs="Arial"/>
          <w:szCs w:val="20"/>
        </w:rPr>
        <w:t xml:space="preserve">Using </w:t>
      </w:r>
      <w:r w:rsidR="009E7DDD">
        <w:rPr>
          <w:rFonts w:cs="Arial"/>
          <w:szCs w:val="20"/>
        </w:rPr>
        <w:t xml:space="preserve">an </w:t>
      </w:r>
      <w:r w:rsidR="003B1E1A" w:rsidRPr="00712EFA">
        <w:rPr>
          <w:rFonts w:cs="Arial"/>
          <w:szCs w:val="20"/>
        </w:rPr>
        <w:t xml:space="preserve">availability payment structure </w:t>
      </w:r>
      <w:r w:rsidRPr="00712EFA">
        <w:rPr>
          <w:rFonts w:cs="Arial"/>
          <w:szCs w:val="20"/>
        </w:rPr>
        <w:t xml:space="preserve">to pay for </w:t>
      </w:r>
      <w:r w:rsidR="003B1E1A" w:rsidRPr="00712EFA">
        <w:rPr>
          <w:rFonts w:cs="Arial"/>
          <w:szCs w:val="20"/>
        </w:rPr>
        <w:t xml:space="preserve">the </w:t>
      </w:r>
      <w:r w:rsidRPr="00712EFA">
        <w:rPr>
          <w:rFonts w:cs="Arial"/>
          <w:szCs w:val="20"/>
        </w:rPr>
        <w:t>work</w:t>
      </w:r>
      <w:r w:rsidR="003B1E1A" w:rsidRPr="00712EFA">
        <w:rPr>
          <w:rFonts w:cs="Arial"/>
          <w:szCs w:val="20"/>
        </w:rPr>
        <w:t>; and</w:t>
      </w:r>
    </w:p>
    <w:p w14:paraId="78DA0BF3" w14:textId="4618D2D1" w:rsidR="00A81BC7" w:rsidRPr="00712EFA" w:rsidRDefault="00E26860" w:rsidP="00A95427">
      <w:pPr>
        <w:pStyle w:val="ListParagraph"/>
        <w:numPr>
          <w:ilvl w:val="0"/>
          <w:numId w:val="11"/>
        </w:numPr>
        <w:jc w:val="both"/>
        <w:rPr>
          <w:rFonts w:cs="Arial"/>
          <w:szCs w:val="20"/>
        </w:rPr>
      </w:pPr>
      <w:r w:rsidRPr="00712EFA">
        <w:rPr>
          <w:rFonts w:cs="Arial"/>
          <w:szCs w:val="20"/>
        </w:rPr>
        <w:t>Shifting certain</w:t>
      </w:r>
      <w:r w:rsidR="003B1E1A" w:rsidRPr="00712EFA">
        <w:rPr>
          <w:rFonts w:cs="Arial"/>
          <w:szCs w:val="20"/>
        </w:rPr>
        <w:t xml:space="preserve"> operations and maintenance responsibilities</w:t>
      </w:r>
      <w:r w:rsidRPr="00712EFA">
        <w:rPr>
          <w:rFonts w:cs="Arial"/>
          <w:szCs w:val="20"/>
        </w:rPr>
        <w:t xml:space="preserve"> to </w:t>
      </w:r>
      <w:r w:rsidR="003B1E1A" w:rsidRPr="00712EFA">
        <w:rPr>
          <w:rFonts w:cs="Arial"/>
          <w:szCs w:val="20"/>
        </w:rPr>
        <w:t xml:space="preserve">a </w:t>
      </w:r>
      <w:r w:rsidRPr="00712EFA">
        <w:rPr>
          <w:rFonts w:cs="Arial"/>
          <w:szCs w:val="20"/>
        </w:rPr>
        <w:t>private partner</w:t>
      </w:r>
      <w:r w:rsidR="00053570">
        <w:rPr>
          <w:rFonts w:cs="Arial"/>
          <w:szCs w:val="20"/>
        </w:rPr>
        <w:t>.</w:t>
      </w:r>
      <w:r w:rsidRPr="00712EFA">
        <w:rPr>
          <w:rFonts w:cs="Arial"/>
          <w:szCs w:val="20"/>
        </w:rPr>
        <w:t xml:space="preserve"> </w:t>
      </w:r>
    </w:p>
    <w:p w14:paraId="1A6E80D2" w14:textId="4B3350D0" w:rsidR="009F6E53" w:rsidRPr="00712EFA" w:rsidRDefault="009F6E53" w:rsidP="00A95427">
      <w:pPr>
        <w:pStyle w:val="ListParagraph"/>
        <w:ind w:left="1440"/>
        <w:jc w:val="both"/>
        <w:rPr>
          <w:rFonts w:cs="Arial"/>
          <w:szCs w:val="20"/>
        </w:rPr>
      </w:pPr>
    </w:p>
    <w:p w14:paraId="0E788C99" w14:textId="2B77A4D6" w:rsidR="00E26860" w:rsidRPr="00712EFA" w:rsidRDefault="00E26860" w:rsidP="00A95427">
      <w:pPr>
        <w:jc w:val="both"/>
        <w:rPr>
          <w:rFonts w:cs="Arial"/>
          <w:b/>
          <w:bCs/>
          <w:szCs w:val="20"/>
          <w:u w:val="single"/>
        </w:rPr>
      </w:pPr>
      <w:r w:rsidRPr="00712EFA">
        <w:rPr>
          <w:rFonts w:cs="Arial"/>
          <w:b/>
          <w:bCs/>
          <w:szCs w:val="20"/>
          <w:u w:val="single"/>
        </w:rPr>
        <w:t>MnDOT Peter</w:t>
      </w:r>
      <w:r w:rsidR="00C33CAD" w:rsidRPr="00712EFA">
        <w:rPr>
          <w:rFonts w:cs="Arial"/>
          <w:b/>
          <w:bCs/>
          <w:szCs w:val="20"/>
          <w:u w:val="single"/>
        </w:rPr>
        <w:t xml:space="preserve"> Davich</w:t>
      </w:r>
    </w:p>
    <w:p w14:paraId="3832F34E" w14:textId="26C0D3BD" w:rsidR="000F62C4" w:rsidRPr="00712EFA" w:rsidRDefault="000F62C4" w:rsidP="00A95427">
      <w:pPr>
        <w:jc w:val="both"/>
        <w:rPr>
          <w:rFonts w:cs="Arial"/>
          <w:szCs w:val="20"/>
        </w:rPr>
      </w:pPr>
      <w:r w:rsidRPr="00712EFA">
        <w:rPr>
          <w:rFonts w:cs="Arial"/>
          <w:szCs w:val="20"/>
        </w:rPr>
        <w:t>MnDOT has a 25-year history with AD, first using DB in</w:t>
      </w:r>
      <w:r w:rsidR="00087076" w:rsidRPr="00712EFA">
        <w:rPr>
          <w:rFonts w:cs="Arial"/>
          <w:szCs w:val="20"/>
        </w:rPr>
        <w:t xml:space="preserve"> </w:t>
      </w:r>
      <w:r w:rsidRPr="00712EFA">
        <w:rPr>
          <w:rFonts w:cs="Arial"/>
          <w:szCs w:val="20"/>
        </w:rPr>
        <w:t>1996 and Construction-Manager/General Contractor (CM/GC) in 2013. The department has procured 55 AD projects</w:t>
      </w:r>
      <w:r w:rsidR="00542DDC">
        <w:rPr>
          <w:rFonts w:cs="Arial"/>
          <w:szCs w:val="20"/>
        </w:rPr>
        <w:t xml:space="preserve"> </w:t>
      </w:r>
      <w:r w:rsidRPr="00712EFA">
        <w:rPr>
          <w:rFonts w:cs="Arial"/>
          <w:szCs w:val="20"/>
        </w:rPr>
        <w:t xml:space="preserve">thus far, averaging 4-5 per year. The DB staff at MnDOT </w:t>
      </w:r>
      <w:r w:rsidR="00134B07" w:rsidRPr="00712EFA">
        <w:rPr>
          <w:rFonts w:cs="Arial"/>
          <w:szCs w:val="20"/>
        </w:rPr>
        <w:t xml:space="preserve">fill multiple functions from program development to project selection. They are </w:t>
      </w:r>
      <w:r w:rsidR="00BF543F">
        <w:rPr>
          <w:rFonts w:cs="Arial"/>
          <w:szCs w:val="20"/>
        </w:rPr>
        <w:t>assist</w:t>
      </w:r>
      <w:r w:rsidR="00BF543F" w:rsidRPr="00712EFA">
        <w:rPr>
          <w:rFonts w:cs="Arial"/>
          <w:szCs w:val="20"/>
        </w:rPr>
        <w:t xml:space="preserve">ed </w:t>
      </w:r>
      <w:r w:rsidR="00134B07" w:rsidRPr="00712EFA">
        <w:rPr>
          <w:rFonts w:cs="Arial"/>
          <w:szCs w:val="20"/>
        </w:rPr>
        <w:t>by a programmatic GEC consultant</w:t>
      </w:r>
      <w:r w:rsidR="00F709C0">
        <w:rPr>
          <w:rFonts w:cs="Arial"/>
          <w:szCs w:val="20"/>
        </w:rPr>
        <w:t>,</w:t>
      </w:r>
      <w:r w:rsidR="00134B07" w:rsidRPr="00712EFA">
        <w:rPr>
          <w:rFonts w:cs="Arial"/>
          <w:szCs w:val="20"/>
        </w:rPr>
        <w:t xml:space="preserve"> which supports RFP writing, preliminary design, </w:t>
      </w:r>
      <w:r w:rsidR="00F709C0">
        <w:rPr>
          <w:rFonts w:cs="Arial"/>
          <w:szCs w:val="20"/>
        </w:rPr>
        <w:t xml:space="preserve">and </w:t>
      </w:r>
      <w:r w:rsidR="00134B07" w:rsidRPr="00712EFA">
        <w:rPr>
          <w:rFonts w:cs="Arial"/>
          <w:szCs w:val="20"/>
        </w:rPr>
        <w:t xml:space="preserve">project management support, among other duties.  </w:t>
      </w:r>
    </w:p>
    <w:p w14:paraId="5080AD83" w14:textId="759539F3" w:rsidR="00E26860" w:rsidRPr="00712EFA" w:rsidRDefault="00DF6044" w:rsidP="00A95427">
      <w:pPr>
        <w:jc w:val="both"/>
        <w:rPr>
          <w:rFonts w:cs="Arial"/>
          <w:szCs w:val="20"/>
        </w:rPr>
      </w:pPr>
      <w:r w:rsidRPr="00712EFA">
        <w:rPr>
          <w:rFonts w:cs="Arial"/>
          <w:szCs w:val="20"/>
        </w:rPr>
        <w:t xml:space="preserve">For DB projects, MnDOT uses either low-bid or best-value evaluation. In low-bid procurement, MnDOT only </w:t>
      </w:r>
      <w:r w:rsidR="00570829">
        <w:rPr>
          <w:rFonts w:cs="Arial"/>
          <w:szCs w:val="20"/>
        </w:rPr>
        <w:t>considers</w:t>
      </w:r>
      <w:r w:rsidRPr="00712EFA">
        <w:rPr>
          <w:rFonts w:cs="Arial"/>
          <w:szCs w:val="20"/>
        </w:rPr>
        <w:t xml:space="preserve"> a </w:t>
      </w:r>
      <w:r w:rsidR="00570829">
        <w:rPr>
          <w:rFonts w:cs="Arial"/>
          <w:szCs w:val="20"/>
        </w:rPr>
        <w:t>bidder’</w:t>
      </w:r>
      <w:r w:rsidRPr="00712EFA">
        <w:rPr>
          <w:rFonts w:cs="Arial"/>
          <w:szCs w:val="20"/>
        </w:rPr>
        <w:t>s cost</w:t>
      </w:r>
      <w:r w:rsidR="00FE668B">
        <w:rPr>
          <w:rFonts w:cs="Arial"/>
          <w:szCs w:val="20"/>
        </w:rPr>
        <w:t>.</w:t>
      </w:r>
      <w:r w:rsidR="00A17069">
        <w:rPr>
          <w:rFonts w:cs="Arial"/>
          <w:szCs w:val="20"/>
        </w:rPr>
        <w:t xml:space="preserve"> </w:t>
      </w:r>
      <w:r w:rsidR="00FE668B">
        <w:rPr>
          <w:rFonts w:cs="Arial"/>
          <w:szCs w:val="20"/>
        </w:rPr>
        <w:t>MnDOT finds that low bid</w:t>
      </w:r>
      <w:r w:rsidRPr="00712EFA">
        <w:rPr>
          <w:rFonts w:cs="Arial"/>
          <w:szCs w:val="20"/>
        </w:rPr>
        <w:t xml:space="preserve"> is most appropriate for projects with low complexity and risk. Best-value DB, usually reserved for more complex projects, looks at other evaluation factors such as completion speed, maintainability, and environmental impacts. The technical score in best value comprises 20-40% </w:t>
      </w:r>
      <w:r w:rsidR="0029239D">
        <w:rPr>
          <w:rFonts w:cs="Arial"/>
          <w:szCs w:val="20"/>
        </w:rPr>
        <w:t xml:space="preserve">of the proposal score.  </w:t>
      </w:r>
      <w:r w:rsidRPr="00712EFA">
        <w:rPr>
          <w:rFonts w:cs="Arial"/>
          <w:szCs w:val="20"/>
        </w:rPr>
        <w:t xml:space="preserve">MnDOT </w:t>
      </w:r>
      <w:r w:rsidR="00D426F7" w:rsidRPr="00712EFA">
        <w:rPr>
          <w:rFonts w:cs="Arial"/>
          <w:szCs w:val="20"/>
        </w:rPr>
        <w:t>us</w:t>
      </w:r>
      <w:r w:rsidRPr="00712EFA">
        <w:rPr>
          <w:rFonts w:cs="Arial"/>
          <w:szCs w:val="20"/>
        </w:rPr>
        <w:t>e</w:t>
      </w:r>
      <w:r w:rsidR="00B355F0">
        <w:rPr>
          <w:rFonts w:cs="Arial"/>
          <w:szCs w:val="20"/>
        </w:rPr>
        <w:t>s</w:t>
      </w:r>
      <w:r w:rsidR="00094ABB">
        <w:rPr>
          <w:rFonts w:cs="Arial"/>
          <w:szCs w:val="20"/>
        </w:rPr>
        <w:t xml:space="preserve"> a form of best value procurement for approximately 70% of procurements and</w:t>
      </w:r>
      <w:r w:rsidR="00D426F7" w:rsidRPr="00712EFA">
        <w:rPr>
          <w:rFonts w:cs="Arial"/>
          <w:szCs w:val="20"/>
        </w:rPr>
        <w:t xml:space="preserve"> low bid </w:t>
      </w:r>
      <w:r w:rsidR="00094ABB">
        <w:rPr>
          <w:rFonts w:cs="Arial"/>
          <w:szCs w:val="20"/>
        </w:rPr>
        <w:t>for the remainder</w:t>
      </w:r>
      <w:r w:rsidRPr="00712EFA">
        <w:rPr>
          <w:rFonts w:cs="Arial"/>
          <w:szCs w:val="20"/>
        </w:rPr>
        <w:t>.</w:t>
      </w:r>
      <w:r w:rsidR="00BE62E7">
        <w:rPr>
          <w:rFonts w:cs="Arial"/>
          <w:szCs w:val="20"/>
        </w:rPr>
        <w:t xml:space="preserve">  MnDOT believes that best value is the highest use of DB, but that low bid is appropriate for </w:t>
      </w:r>
      <w:r w:rsidR="003024E3">
        <w:rPr>
          <w:rFonts w:cs="Arial"/>
          <w:szCs w:val="20"/>
        </w:rPr>
        <w:t xml:space="preserve">some </w:t>
      </w:r>
      <w:r w:rsidR="00A2347A">
        <w:rPr>
          <w:rFonts w:cs="Arial"/>
          <w:szCs w:val="20"/>
        </w:rPr>
        <w:t>low-complexity projects.</w:t>
      </w:r>
      <w:r w:rsidRPr="00712EFA">
        <w:rPr>
          <w:rFonts w:cs="Arial"/>
          <w:szCs w:val="20"/>
        </w:rPr>
        <w:t xml:space="preserve"> </w:t>
      </w:r>
    </w:p>
    <w:p w14:paraId="09636E7F" w14:textId="72095281" w:rsidR="00087076" w:rsidRPr="00712EFA" w:rsidRDefault="00087076" w:rsidP="00A95427">
      <w:pPr>
        <w:jc w:val="both"/>
        <w:rPr>
          <w:rFonts w:cs="Arial"/>
          <w:szCs w:val="20"/>
        </w:rPr>
      </w:pPr>
      <w:r w:rsidRPr="00712EFA">
        <w:rPr>
          <w:rFonts w:cs="Arial"/>
          <w:szCs w:val="20"/>
        </w:rPr>
        <w:t>MnDOT provided key lessons o</w:t>
      </w:r>
      <w:r w:rsidR="004957CF">
        <w:rPr>
          <w:rFonts w:cs="Arial"/>
          <w:szCs w:val="20"/>
        </w:rPr>
        <w:t>f</w:t>
      </w:r>
      <w:r w:rsidRPr="00712EFA">
        <w:rPr>
          <w:rFonts w:cs="Arial"/>
          <w:szCs w:val="20"/>
        </w:rPr>
        <w:t xml:space="preserve"> the NEPA process under AD. Examples include: </w:t>
      </w:r>
    </w:p>
    <w:p w14:paraId="3D111DF5" w14:textId="645D3DEC" w:rsidR="00370EFD" w:rsidRPr="00712EFA" w:rsidRDefault="00D426F7" w:rsidP="00A95427">
      <w:pPr>
        <w:pStyle w:val="ListParagraph"/>
        <w:numPr>
          <w:ilvl w:val="0"/>
          <w:numId w:val="7"/>
        </w:numPr>
        <w:jc w:val="both"/>
        <w:rPr>
          <w:rFonts w:cs="Arial"/>
          <w:szCs w:val="20"/>
        </w:rPr>
      </w:pPr>
      <w:r w:rsidRPr="00712EFA">
        <w:rPr>
          <w:rFonts w:cs="Arial"/>
          <w:szCs w:val="20"/>
        </w:rPr>
        <w:t xml:space="preserve">Keep </w:t>
      </w:r>
      <w:r w:rsidR="00370EFD" w:rsidRPr="00712EFA">
        <w:rPr>
          <w:rFonts w:cs="Arial"/>
          <w:szCs w:val="20"/>
        </w:rPr>
        <w:t xml:space="preserve">the </w:t>
      </w:r>
      <w:r w:rsidRPr="00712EFA">
        <w:rPr>
          <w:rFonts w:cs="Arial"/>
          <w:szCs w:val="20"/>
        </w:rPr>
        <w:t>NEPA process similar to DBB</w:t>
      </w:r>
      <w:r w:rsidR="00370EFD" w:rsidRPr="00712EFA">
        <w:rPr>
          <w:rFonts w:cs="Arial"/>
          <w:szCs w:val="20"/>
        </w:rPr>
        <w:t xml:space="preserve"> without involving the DB contractor;</w:t>
      </w:r>
    </w:p>
    <w:p w14:paraId="6077D49F" w14:textId="56112605" w:rsidR="00370EFD" w:rsidRPr="00712EFA" w:rsidRDefault="00370EFD" w:rsidP="00A95427">
      <w:pPr>
        <w:pStyle w:val="ListParagraph"/>
        <w:numPr>
          <w:ilvl w:val="0"/>
          <w:numId w:val="7"/>
        </w:numPr>
        <w:jc w:val="both"/>
        <w:rPr>
          <w:rFonts w:cs="Arial"/>
          <w:szCs w:val="20"/>
        </w:rPr>
      </w:pPr>
      <w:r w:rsidRPr="00712EFA">
        <w:rPr>
          <w:rFonts w:cs="Arial"/>
          <w:szCs w:val="20"/>
        </w:rPr>
        <w:t>Try to “clear” corridors early to allow DB teams to use all ROW;</w:t>
      </w:r>
    </w:p>
    <w:p w14:paraId="237FA811" w14:textId="4EDB8D58" w:rsidR="00370EFD" w:rsidRPr="00712EFA" w:rsidRDefault="00370EFD" w:rsidP="00A95427">
      <w:pPr>
        <w:pStyle w:val="ListParagraph"/>
        <w:numPr>
          <w:ilvl w:val="1"/>
          <w:numId w:val="7"/>
        </w:numPr>
        <w:jc w:val="both"/>
        <w:rPr>
          <w:rFonts w:cs="Arial"/>
          <w:szCs w:val="20"/>
        </w:rPr>
      </w:pPr>
      <w:r w:rsidRPr="00712EFA">
        <w:rPr>
          <w:rFonts w:cs="Arial"/>
          <w:szCs w:val="20"/>
        </w:rPr>
        <w:t>If not possible</w:t>
      </w:r>
      <w:r w:rsidR="00F25797">
        <w:rPr>
          <w:rFonts w:cs="Arial"/>
          <w:szCs w:val="20"/>
        </w:rPr>
        <w:t>,</w:t>
      </w:r>
      <w:r w:rsidRPr="00712EFA">
        <w:rPr>
          <w:rFonts w:cs="Arial"/>
          <w:szCs w:val="20"/>
        </w:rPr>
        <w:t xml:space="preserve"> use maps (not words) to communicate which areas are off limits</w:t>
      </w:r>
    </w:p>
    <w:p w14:paraId="008DDE78" w14:textId="66753C3B" w:rsidR="00370EFD" w:rsidRPr="00712EFA" w:rsidRDefault="00370EFD" w:rsidP="00A95427">
      <w:pPr>
        <w:pStyle w:val="ListParagraph"/>
        <w:numPr>
          <w:ilvl w:val="1"/>
          <w:numId w:val="7"/>
        </w:numPr>
        <w:jc w:val="both"/>
        <w:rPr>
          <w:rFonts w:cs="Arial"/>
          <w:szCs w:val="20"/>
        </w:rPr>
      </w:pPr>
      <w:r w:rsidRPr="00712EFA">
        <w:rPr>
          <w:rFonts w:cs="Arial"/>
          <w:szCs w:val="20"/>
        </w:rPr>
        <w:t>Keep local NEPA/FHWA staff informed</w:t>
      </w:r>
      <w:r w:rsidR="0029239D">
        <w:rPr>
          <w:rFonts w:cs="Arial"/>
          <w:szCs w:val="20"/>
        </w:rPr>
        <w:t>; and</w:t>
      </w:r>
    </w:p>
    <w:p w14:paraId="3D1D41C4" w14:textId="19AE93FD" w:rsidR="00370EFD" w:rsidRPr="00712EFA" w:rsidRDefault="00D426F7" w:rsidP="00A95427">
      <w:pPr>
        <w:pStyle w:val="ListParagraph"/>
        <w:numPr>
          <w:ilvl w:val="0"/>
          <w:numId w:val="7"/>
        </w:numPr>
        <w:jc w:val="both"/>
        <w:rPr>
          <w:rFonts w:cs="Arial"/>
          <w:szCs w:val="20"/>
        </w:rPr>
      </w:pPr>
      <w:r w:rsidRPr="00712EFA">
        <w:rPr>
          <w:rFonts w:cs="Arial"/>
          <w:szCs w:val="20"/>
        </w:rPr>
        <w:t xml:space="preserve">Noise commitments </w:t>
      </w:r>
      <w:r w:rsidR="009C728F">
        <w:rPr>
          <w:rFonts w:cs="Arial"/>
          <w:szCs w:val="20"/>
        </w:rPr>
        <w:t>can be restrictive</w:t>
      </w:r>
      <w:r w:rsidRPr="00712EFA">
        <w:rPr>
          <w:rFonts w:cs="Arial"/>
          <w:szCs w:val="20"/>
        </w:rPr>
        <w:t xml:space="preserve"> for </w:t>
      </w:r>
      <w:r w:rsidR="00370EFD" w:rsidRPr="00712EFA">
        <w:rPr>
          <w:rFonts w:cs="Arial"/>
          <w:szCs w:val="20"/>
        </w:rPr>
        <w:t>profile</w:t>
      </w:r>
      <w:r w:rsidRPr="00712EFA">
        <w:rPr>
          <w:rFonts w:cs="Arial"/>
          <w:szCs w:val="20"/>
        </w:rPr>
        <w:t xml:space="preserve"> changes</w:t>
      </w:r>
      <w:r w:rsidR="0029239D">
        <w:rPr>
          <w:rFonts w:cs="Arial"/>
          <w:szCs w:val="20"/>
        </w:rPr>
        <w:t>.</w:t>
      </w:r>
    </w:p>
    <w:p w14:paraId="42DDD04C" w14:textId="44A97272" w:rsidR="00D426F7" w:rsidRPr="00712EFA" w:rsidRDefault="00370EFD" w:rsidP="00A95427">
      <w:pPr>
        <w:jc w:val="both"/>
        <w:rPr>
          <w:rFonts w:cs="Arial"/>
          <w:szCs w:val="20"/>
        </w:rPr>
      </w:pPr>
      <w:r w:rsidRPr="00712EFA">
        <w:rPr>
          <w:rFonts w:cs="Arial"/>
          <w:szCs w:val="20"/>
        </w:rPr>
        <w:t>MnDOT f</w:t>
      </w:r>
      <w:r w:rsidR="0060407F" w:rsidRPr="00712EFA">
        <w:rPr>
          <w:rFonts w:cs="Arial"/>
          <w:szCs w:val="20"/>
        </w:rPr>
        <w:t xml:space="preserve">inds </w:t>
      </w:r>
      <w:r w:rsidR="00D426F7" w:rsidRPr="00712EFA">
        <w:rPr>
          <w:rFonts w:cs="Arial"/>
          <w:szCs w:val="20"/>
        </w:rPr>
        <w:t xml:space="preserve">DB can be powerful </w:t>
      </w:r>
      <w:r w:rsidR="0060407F" w:rsidRPr="00712EFA">
        <w:rPr>
          <w:rFonts w:cs="Arial"/>
          <w:szCs w:val="20"/>
        </w:rPr>
        <w:t xml:space="preserve">for solving </w:t>
      </w:r>
      <w:r w:rsidR="0029239D">
        <w:rPr>
          <w:rFonts w:cs="Arial"/>
          <w:szCs w:val="20"/>
        </w:rPr>
        <w:t xml:space="preserve">environmental </w:t>
      </w:r>
      <w:r w:rsidRPr="00712EFA">
        <w:rPr>
          <w:rFonts w:cs="Arial"/>
          <w:szCs w:val="20"/>
        </w:rPr>
        <w:t>issues</w:t>
      </w:r>
      <w:r w:rsidR="0029239D">
        <w:rPr>
          <w:rFonts w:cs="Arial"/>
          <w:szCs w:val="20"/>
        </w:rPr>
        <w:t>, including by</w:t>
      </w:r>
      <w:r w:rsidR="00DA5A50">
        <w:rPr>
          <w:rFonts w:cs="Arial"/>
          <w:szCs w:val="20"/>
        </w:rPr>
        <w:t xml:space="preserve"> </w:t>
      </w:r>
      <w:r w:rsidRPr="00712EFA">
        <w:rPr>
          <w:rFonts w:cs="Arial"/>
          <w:szCs w:val="20"/>
        </w:rPr>
        <w:t xml:space="preserve">having a contractor put together a robust </w:t>
      </w:r>
      <w:r w:rsidR="00D426F7" w:rsidRPr="00712EFA">
        <w:rPr>
          <w:rFonts w:cs="Arial"/>
          <w:szCs w:val="20"/>
        </w:rPr>
        <w:t>communication</w:t>
      </w:r>
      <w:r w:rsidR="0060407F" w:rsidRPr="00712EFA">
        <w:rPr>
          <w:rFonts w:cs="Arial"/>
          <w:szCs w:val="20"/>
        </w:rPr>
        <w:t>s</w:t>
      </w:r>
      <w:r w:rsidR="00D426F7" w:rsidRPr="00712EFA">
        <w:rPr>
          <w:rFonts w:cs="Arial"/>
          <w:szCs w:val="20"/>
        </w:rPr>
        <w:t xml:space="preserve"> plan</w:t>
      </w:r>
      <w:r w:rsidR="0060407F" w:rsidRPr="00712EFA">
        <w:rPr>
          <w:rFonts w:cs="Arial"/>
          <w:szCs w:val="20"/>
        </w:rPr>
        <w:t xml:space="preserve"> to work</w:t>
      </w:r>
      <w:r w:rsidRPr="00712EFA">
        <w:rPr>
          <w:rFonts w:cs="Arial"/>
          <w:szCs w:val="20"/>
        </w:rPr>
        <w:t xml:space="preserve"> with local governments on</w:t>
      </w:r>
      <w:r w:rsidR="00D426F7" w:rsidRPr="00712EFA">
        <w:rPr>
          <w:rFonts w:cs="Arial"/>
          <w:szCs w:val="20"/>
        </w:rPr>
        <w:t xml:space="preserve"> schedule coordination</w:t>
      </w:r>
      <w:r w:rsidR="00DA5A50">
        <w:rPr>
          <w:rFonts w:cs="Arial"/>
          <w:szCs w:val="20"/>
        </w:rPr>
        <w:t>.</w:t>
      </w:r>
      <w:r w:rsidRPr="00712EFA">
        <w:rPr>
          <w:rFonts w:cs="Arial"/>
          <w:szCs w:val="20"/>
        </w:rPr>
        <w:t xml:space="preserve"> </w:t>
      </w:r>
    </w:p>
    <w:p w14:paraId="2A351C83" w14:textId="3A1E7252" w:rsidR="00C33CAD" w:rsidRPr="00712EFA" w:rsidRDefault="00161CBB" w:rsidP="00A95427">
      <w:pPr>
        <w:jc w:val="both"/>
        <w:rPr>
          <w:rFonts w:cs="Arial"/>
          <w:szCs w:val="20"/>
        </w:rPr>
      </w:pPr>
      <w:r w:rsidRPr="00712EFA">
        <w:rPr>
          <w:rFonts w:cs="Arial"/>
          <w:szCs w:val="20"/>
        </w:rPr>
        <w:t xml:space="preserve">MnDOT </w:t>
      </w:r>
      <w:r w:rsidR="00C33CAD" w:rsidRPr="00712EFA">
        <w:rPr>
          <w:rFonts w:cs="Arial"/>
          <w:szCs w:val="20"/>
        </w:rPr>
        <w:t xml:space="preserve">discussed the Crookston Slope project </w:t>
      </w:r>
      <w:r w:rsidR="0064268C">
        <w:rPr>
          <w:rFonts w:cs="Arial"/>
          <w:szCs w:val="20"/>
        </w:rPr>
        <w:t>to</w:t>
      </w:r>
      <w:r w:rsidR="00C33CAD" w:rsidRPr="00712EFA">
        <w:rPr>
          <w:rFonts w:cs="Arial"/>
          <w:szCs w:val="20"/>
        </w:rPr>
        <w:t xml:space="preserve"> highlight the department’s successful use of DB to obtain diverse, innovative solutions to a complex problem. Years of investigation data showed a worsening, deep-seated slope failure off U.S. Route 2 in Crookston with active slope “creep” closer to the road</w:t>
      </w:r>
      <w:r w:rsidR="00506B55">
        <w:rPr>
          <w:rFonts w:cs="Arial"/>
          <w:szCs w:val="20"/>
        </w:rPr>
        <w:t>.  The area</w:t>
      </w:r>
      <w:r w:rsidR="00C33CAD" w:rsidRPr="00712EFA">
        <w:rPr>
          <w:rFonts w:cs="Arial"/>
          <w:szCs w:val="20"/>
        </w:rPr>
        <w:t xml:space="preserve"> experienced historic slides in 1934 and 2008. While the site was well-bounded with few third-party issues, the ideal solution remained unknown, offering significant opportunity to gather innovative concepts from design-builders.</w:t>
      </w:r>
      <w:r w:rsidR="00AE5EB0">
        <w:rPr>
          <w:rFonts w:cs="Arial"/>
          <w:szCs w:val="20"/>
        </w:rPr>
        <w:t xml:space="preserve"> </w:t>
      </w:r>
      <w:r w:rsidR="00C33CAD" w:rsidRPr="00712EFA">
        <w:rPr>
          <w:rFonts w:cs="Arial"/>
          <w:szCs w:val="20"/>
        </w:rPr>
        <w:t xml:space="preserve">MnDOT used DB to procure a contractor to stabilize the slope. Using DB allowed the agency to receive competing designs and multiple concepts from the industry to solve the problem. Four design-build teams submitted proposals, each offering their own innovative solution to stabilize the slope. The team that proposed installing shear walls was chosen and offered a proposal price 13% lower than </w:t>
      </w:r>
      <w:r w:rsidR="00C33CAD" w:rsidRPr="00712EFA">
        <w:rPr>
          <w:rFonts w:cs="Arial"/>
          <w:szCs w:val="20"/>
        </w:rPr>
        <w:lastRenderedPageBreak/>
        <w:t>MnDOT’s engineer</w:t>
      </w:r>
      <w:r w:rsidR="000D7687">
        <w:rPr>
          <w:rFonts w:cs="Arial"/>
          <w:szCs w:val="20"/>
        </w:rPr>
        <w:t>’s</w:t>
      </w:r>
      <w:r w:rsidR="00C33CAD" w:rsidRPr="00712EFA">
        <w:rPr>
          <w:rFonts w:cs="Arial"/>
          <w:szCs w:val="20"/>
        </w:rPr>
        <w:t xml:space="preserve"> estimate. MnDOT considers the Crookston slope project to be a prime example of how DB can benefit DOT highway projects.</w:t>
      </w:r>
    </w:p>
    <w:p w14:paraId="713A200F" w14:textId="03842AE7" w:rsidR="00C33CAD" w:rsidRPr="00712EFA" w:rsidRDefault="00C33CAD" w:rsidP="00A95427">
      <w:pPr>
        <w:jc w:val="both"/>
        <w:rPr>
          <w:rFonts w:cs="Arial"/>
          <w:b/>
          <w:bCs/>
          <w:szCs w:val="20"/>
          <w:u w:val="single"/>
        </w:rPr>
      </w:pPr>
      <w:r w:rsidRPr="00712EFA">
        <w:rPr>
          <w:rFonts w:cs="Arial"/>
          <w:b/>
          <w:bCs/>
          <w:szCs w:val="20"/>
          <w:u w:val="single"/>
        </w:rPr>
        <w:t>UDOT Phil El</w:t>
      </w:r>
      <w:r w:rsidR="0001679A" w:rsidRPr="00712EFA">
        <w:rPr>
          <w:rFonts w:cs="Arial"/>
          <w:b/>
          <w:bCs/>
          <w:szCs w:val="20"/>
          <w:u w:val="single"/>
        </w:rPr>
        <w:t>lsworth</w:t>
      </w:r>
      <w:r w:rsidR="00FB5A57">
        <w:rPr>
          <w:rFonts w:cs="Arial"/>
          <w:b/>
          <w:bCs/>
          <w:szCs w:val="20"/>
          <w:u w:val="single"/>
        </w:rPr>
        <w:t xml:space="preserve"> and Brandon Weston</w:t>
      </w:r>
    </w:p>
    <w:p w14:paraId="7696E33B" w14:textId="1CAB4339" w:rsidR="006F0296" w:rsidRPr="00712EFA" w:rsidRDefault="00BD12A6" w:rsidP="00A95427">
      <w:pPr>
        <w:jc w:val="both"/>
        <w:rPr>
          <w:rFonts w:cs="Arial"/>
          <w:szCs w:val="20"/>
        </w:rPr>
      </w:pPr>
      <w:r w:rsidRPr="00712EFA">
        <w:rPr>
          <w:rFonts w:cs="Arial"/>
          <w:szCs w:val="20"/>
        </w:rPr>
        <w:t>Phil El</w:t>
      </w:r>
      <w:r w:rsidR="0001679A" w:rsidRPr="00712EFA">
        <w:rPr>
          <w:rFonts w:cs="Arial"/>
          <w:szCs w:val="20"/>
        </w:rPr>
        <w:t>l</w:t>
      </w:r>
      <w:r w:rsidRPr="00712EFA">
        <w:rPr>
          <w:rFonts w:cs="Arial"/>
          <w:szCs w:val="20"/>
        </w:rPr>
        <w:t>sworth</w:t>
      </w:r>
      <w:r w:rsidR="0001679A" w:rsidRPr="00712EFA">
        <w:rPr>
          <w:rFonts w:cs="Arial"/>
          <w:szCs w:val="20"/>
        </w:rPr>
        <w:t xml:space="preserve"> first spoke </w:t>
      </w:r>
      <w:r w:rsidR="00305186" w:rsidRPr="00712EFA">
        <w:rPr>
          <w:rFonts w:cs="Arial"/>
          <w:szCs w:val="20"/>
        </w:rPr>
        <w:t xml:space="preserve">on behalf of UDOT. He has been </w:t>
      </w:r>
      <w:r w:rsidR="0001679A" w:rsidRPr="00712EFA">
        <w:rPr>
          <w:rFonts w:cs="Arial"/>
          <w:szCs w:val="20"/>
        </w:rPr>
        <w:t xml:space="preserve">an integrated </w:t>
      </w:r>
      <w:r w:rsidR="00305186" w:rsidRPr="00712EFA">
        <w:rPr>
          <w:rFonts w:cs="Arial"/>
          <w:szCs w:val="20"/>
        </w:rPr>
        <w:t xml:space="preserve">consultant team </w:t>
      </w:r>
      <w:r w:rsidR="0001679A" w:rsidRPr="00712EFA">
        <w:rPr>
          <w:rFonts w:cs="Arial"/>
          <w:szCs w:val="20"/>
        </w:rPr>
        <w:t>member of UDOT’s Alternative Delivery group</w:t>
      </w:r>
      <w:r w:rsidR="00305186" w:rsidRPr="00712EFA">
        <w:rPr>
          <w:rFonts w:cs="Arial"/>
          <w:szCs w:val="20"/>
        </w:rPr>
        <w:t xml:space="preserve"> for the last 14 years.</w:t>
      </w:r>
      <w:r w:rsidR="0001679A" w:rsidRPr="00712EFA">
        <w:rPr>
          <w:rFonts w:cs="Arial"/>
          <w:szCs w:val="20"/>
        </w:rPr>
        <w:t xml:space="preserve"> </w:t>
      </w:r>
      <w:r w:rsidRPr="00712EFA">
        <w:rPr>
          <w:rFonts w:cs="Arial"/>
          <w:szCs w:val="20"/>
        </w:rPr>
        <w:t xml:space="preserve"> </w:t>
      </w:r>
    </w:p>
    <w:p w14:paraId="3B869F8B" w14:textId="6EFED9E9" w:rsidR="00305186" w:rsidRPr="00712EFA" w:rsidRDefault="00305186" w:rsidP="00A95427">
      <w:pPr>
        <w:jc w:val="both"/>
        <w:rPr>
          <w:rFonts w:cs="Arial"/>
          <w:szCs w:val="20"/>
        </w:rPr>
      </w:pPr>
      <w:r w:rsidRPr="00712EFA">
        <w:rPr>
          <w:rFonts w:cs="Arial"/>
          <w:szCs w:val="20"/>
        </w:rPr>
        <w:t xml:space="preserve">UDOT has used </w:t>
      </w:r>
      <w:r w:rsidR="00BD12A6" w:rsidRPr="00712EFA">
        <w:rPr>
          <w:rFonts w:cs="Arial"/>
          <w:szCs w:val="20"/>
        </w:rPr>
        <w:t>DB since 1997</w:t>
      </w:r>
      <w:r w:rsidRPr="00712EFA">
        <w:rPr>
          <w:rFonts w:cs="Arial"/>
          <w:szCs w:val="20"/>
        </w:rPr>
        <w:t xml:space="preserve">. So far, they have procured </w:t>
      </w:r>
      <w:r w:rsidR="00BD12A6" w:rsidRPr="00712EFA">
        <w:rPr>
          <w:rFonts w:cs="Arial"/>
          <w:szCs w:val="20"/>
        </w:rPr>
        <w:t xml:space="preserve">58 </w:t>
      </w:r>
      <w:r w:rsidRPr="00712EFA">
        <w:rPr>
          <w:rFonts w:cs="Arial"/>
          <w:szCs w:val="20"/>
        </w:rPr>
        <w:t xml:space="preserve">DB </w:t>
      </w:r>
      <w:r w:rsidR="00BD12A6" w:rsidRPr="00712EFA">
        <w:rPr>
          <w:rFonts w:cs="Arial"/>
          <w:szCs w:val="20"/>
        </w:rPr>
        <w:t xml:space="preserve">projects </w:t>
      </w:r>
      <w:r w:rsidRPr="00712EFA">
        <w:rPr>
          <w:rFonts w:cs="Arial"/>
          <w:szCs w:val="20"/>
        </w:rPr>
        <w:t xml:space="preserve">at a total value of </w:t>
      </w:r>
      <w:r w:rsidR="00BD12A6" w:rsidRPr="00712EFA">
        <w:rPr>
          <w:rFonts w:cs="Arial"/>
          <w:szCs w:val="20"/>
        </w:rPr>
        <w:t>$7.2</w:t>
      </w:r>
      <w:r w:rsidRPr="00712EFA">
        <w:rPr>
          <w:rFonts w:cs="Arial"/>
          <w:szCs w:val="20"/>
        </w:rPr>
        <w:t xml:space="preserve"> billion. The department started using </w:t>
      </w:r>
      <w:r w:rsidR="00BD12A6" w:rsidRPr="00712EFA">
        <w:rPr>
          <w:rFonts w:cs="Arial"/>
          <w:szCs w:val="20"/>
        </w:rPr>
        <w:t xml:space="preserve">CM/GC </w:t>
      </w:r>
      <w:r w:rsidRPr="00712EFA">
        <w:rPr>
          <w:rFonts w:cs="Arial"/>
          <w:szCs w:val="20"/>
        </w:rPr>
        <w:t>in</w:t>
      </w:r>
      <w:r w:rsidR="00BD12A6" w:rsidRPr="00712EFA">
        <w:rPr>
          <w:rFonts w:cs="Arial"/>
          <w:szCs w:val="20"/>
        </w:rPr>
        <w:t xml:space="preserve"> 2006</w:t>
      </w:r>
      <w:r w:rsidRPr="00712EFA">
        <w:rPr>
          <w:rFonts w:cs="Arial"/>
          <w:szCs w:val="20"/>
        </w:rPr>
        <w:t xml:space="preserve"> and have since procured </w:t>
      </w:r>
      <w:r w:rsidR="00BD12A6" w:rsidRPr="00712EFA">
        <w:rPr>
          <w:rFonts w:cs="Arial"/>
          <w:szCs w:val="20"/>
        </w:rPr>
        <w:t xml:space="preserve">41 </w:t>
      </w:r>
      <w:r w:rsidRPr="00712EFA">
        <w:rPr>
          <w:rFonts w:cs="Arial"/>
          <w:szCs w:val="20"/>
        </w:rPr>
        <w:t xml:space="preserve">CM/GC </w:t>
      </w:r>
      <w:r w:rsidR="00BD12A6" w:rsidRPr="00712EFA">
        <w:rPr>
          <w:rFonts w:cs="Arial"/>
          <w:szCs w:val="20"/>
        </w:rPr>
        <w:t>projects</w:t>
      </w:r>
      <w:r w:rsidRPr="00712EFA">
        <w:rPr>
          <w:rFonts w:cs="Arial"/>
          <w:szCs w:val="20"/>
        </w:rPr>
        <w:t xml:space="preserve"> that total</w:t>
      </w:r>
      <w:r w:rsidR="00BD12A6" w:rsidRPr="00712EFA">
        <w:rPr>
          <w:rFonts w:cs="Arial"/>
          <w:szCs w:val="20"/>
        </w:rPr>
        <w:t xml:space="preserve"> $1.4</w:t>
      </w:r>
      <w:r w:rsidRPr="00712EFA">
        <w:rPr>
          <w:rFonts w:cs="Arial"/>
          <w:szCs w:val="20"/>
        </w:rPr>
        <w:t xml:space="preserve"> billion. UDOT started using Progressive Design-Build (</w:t>
      </w:r>
      <w:r w:rsidR="00BD12A6" w:rsidRPr="00712EFA">
        <w:rPr>
          <w:rFonts w:cs="Arial"/>
          <w:szCs w:val="20"/>
        </w:rPr>
        <w:t>PDB</w:t>
      </w:r>
      <w:r w:rsidRPr="00712EFA">
        <w:rPr>
          <w:rFonts w:cs="Arial"/>
          <w:szCs w:val="20"/>
        </w:rPr>
        <w:t>)</w:t>
      </w:r>
      <w:r w:rsidR="00BD12A6" w:rsidRPr="00712EFA">
        <w:rPr>
          <w:rFonts w:cs="Arial"/>
          <w:szCs w:val="20"/>
        </w:rPr>
        <w:t xml:space="preserve"> </w:t>
      </w:r>
      <w:r w:rsidRPr="00712EFA">
        <w:rPr>
          <w:rFonts w:cs="Arial"/>
          <w:szCs w:val="20"/>
        </w:rPr>
        <w:t>in</w:t>
      </w:r>
      <w:r w:rsidR="00BD12A6" w:rsidRPr="00712EFA">
        <w:rPr>
          <w:rFonts w:cs="Arial"/>
          <w:szCs w:val="20"/>
        </w:rPr>
        <w:t xml:space="preserve"> 2019</w:t>
      </w:r>
      <w:r w:rsidRPr="00712EFA">
        <w:rPr>
          <w:rFonts w:cs="Arial"/>
          <w:szCs w:val="20"/>
        </w:rPr>
        <w:t>, with two projects procured so far</w:t>
      </w:r>
      <w:r w:rsidR="0056047A">
        <w:rPr>
          <w:rFonts w:cs="Arial"/>
          <w:szCs w:val="20"/>
        </w:rPr>
        <w:t xml:space="preserve"> </w:t>
      </w:r>
      <w:r w:rsidR="00BD12A6" w:rsidRPr="00712EFA">
        <w:rPr>
          <w:rFonts w:cs="Arial"/>
          <w:szCs w:val="20"/>
        </w:rPr>
        <w:t>totaling $750</w:t>
      </w:r>
      <w:r w:rsidRPr="00712EFA">
        <w:rPr>
          <w:rFonts w:cs="Arial"/>
          <w:szCs w:val="20"/>
        </w:rPr>
        <w:t xml:space="preserve"> million. </w:t>
      </w:r>
    </w:p>
    <w:p w14:paraId="0149A622" w14:textId="0D07E813" w:rsidR="00B02F72" w:rsidRPr="00712EFA" w:rsidRDefault="00D41FD1" w:rsidP="00A95427">
      <w:pPr>
        <w:jc w:val="both"/>
        <w:rPr>
          <w:rFonts w:cs="Arial"/>
          <w:szCs w:val="20"/>
        </w:rPr>
      </w:pPr>
      <w:r w:rsidRPr="00712EFA">
        <w:rPr>
          <w:rFonts w:cs="Arial"/>
          <w:szCs w:val="20"/>
        </w:rPr>
        <w:t>UDOT finds having a v</w:t>
      </w:r>
      <w:r w:rsidR="00BD12A6" w:rsidRPr="00712EFA">
        <w:rPr>
          <w:rFonts w:cs="Arial"/>
          <w:szCs w:val="20"/>
        </w:rPr>
        <w:t xml:space="preserve">ariety of </w:t>
      </w:r>
      <w:r w:rsidRPr="00712EFA">
        <w:rPr>
          <w:rFonts w:cs="Arial"/>
          <w:szCs w:val="20"/>
        </w:rPr>
        <w:t xml:space="preserve">AD </w:t>
      </w:r>
      <w:r w:rsidR="00BD12A6" w:rsidRPr="00712EFA">
        <w:rPr>
          <w:rFonts w:cs="Arial"/>
          <w:szCs w:val="20"/>
        </w:rPr>
        <w:t xml:space="preserve">methods </w:t>
      </w:r>
      <w:r w:rsidRPr="00712EFA">
        <w:rPr>
          <w:rFonts w:cs="Arial"/>
          <w:szCs w:val="20"/>
        </w:rPr>
        <w:t xml:space="preserve">provides </w:t>
      </w:r>
      <w:r w:rsidR="00C000C1" w:rsidRPr="00712EFA">
        <w:rPr>
          <w:rFonts w:cs="Arial"/>
          <w:szCs w:val="20"/>
        </w:rPr>
        <w:t xml:space="preserve">the </w:t>
      </w:r>
      <w:r w:rsidR="00BD12A6" w:rsidRPr="00712EFA">
        <w:rPr>
          <w:rFonts w:cs="Arial"/>
          <w:szCs w:val="20"/>
        </w:rPr>
        <w:t>flexibility to manage projects based on unique</w:t>
      </w:r>
      <w:r w:rsidRPr="00712EFA">
        <w:rPr>
          <w:rFonts w:cs="Arial"/>
          <w:szCs w:val="20"/>
        </w:rPr>
        <w:t xml:space="preserve"> </w:t>
      </w:r>
      <w:r w:rsidR="00BD12A6" w:rsidRPr="00712EFA">
        <w:rPr>
          <w:rFonts w:cs="Arial"/>
          <w:szCs w:val="20"/>
        </w:rPr>
        <w:t>challenges</w:t>
      </w:r>
      <w:r w:rsidR="001A4DF2" w:rsidRPr="00712EFA">
        <w:rPr>
          <w:rFonts w:cs="Arial"/>
          <w:szCs w:val="20"/>
        </w:rPr>
        <w:t>.</w:t>
      </w:r>
      <w:r w:rsidR="00A17069">
        <w:rPr>
          <w:rFonts w:cs="Arial"/>
          <w:szCs w:val="20"/>
        </w:rPr>
        <w:t xml:space="preserve"> </w:t>
      </w:r>
      <w:r w:rsidR="001A4DF2" w:rsidRPr="00712EFA">
        <w:rPr>
          <w:rFonts w:cs="Arial"/>
          <w:szCs w:val="20"/>
        </w:rPr>
        <w:t>E</w:t>
      </w:r>
      <w:r w:rsidR="00C000C1" w:rsidRPr="00712EFA">
        <w:rPr>
          <w:rFonts w:cs="Arial"/>
          <w:szCs w:val="20"/>
        </w:rPr>
        <w:t xml:space="preserve">ach AD </w:t>
      </w:r>
      <w:r w:rsidR="00BD12A6" w:rsidRPr="00712EFA">
        <w:rPr>
          <w:rFonts w:cs="Arial"/>
          <w:szCs w:val="20"/>
        </w:rPr>
        <w:t xml:space="preserve">method </w:t>
      </w:r>
      <w:r w:rsidR="001A4DF2" w:rsidRPr="00712EFA">
        <w:rPr>
          <w:rFonts w:cs="Arial"/>
          <w:szCs w:val="20"/>
        </w:rPr>
        <w:t>has contributed</w:t>
      </w:r>
      <w:r w:rsidR="00BD12A6" w:rsidRPr="00712EFA">
        <w:rPr>
          <w:rFonts w:cs="Arial"/>
          <w:szCs w:val="20"/>
        </w:rPr>
        <w:t xml:space="preserve"> to UDOT</w:t>
      </w:r>
      <w:r w:rsidR="00A17069">
        <w:rPr>
          <w:rFonts w:cs="Arial"/>
          <w:szCs w:val="20"/>
        </w:rPr>
        <w:t>’</w:t>
      </w:r>
      <w:r w:rsidR="00BD12A6" w:rsidRPr="00712EFA">
        <w:rPr>
          <w:rFonts w:cs="Arial"/>
          <w:szCs w:val="20"/>
        </w:rPr>
        <w:t>s knowledge in a variety of engineering and construction solution</w:t>
      </w:r>
      <w:r w:rsidR="001A4DF2" w:rsidRPr="00712EFA">
        <w:rPr>
          <w:rFonts w:cs="Arial"/>
          <w:szCs w:val="20"/>
        </w:rPr>
        <w:t xml:space="preserve">s with its own set of tools </w:t>
      </w:r>
      <w:r w:rsidR="00BD12A6" w:rsidRPr="00712EFA">
        <w:rPr>
          <w:rFonts w:cs="Arial"/>
          <w:szCs w:val="20"/>
        </w:rPr>
        <w:t>to help UDOT manage project and program risk</w:t>
      </w:r>
      <w:r w:rsidR="001A4DF2" w:rsidRPr="00712EFA">
        <w:rPr>
          <w:rFonts w:cs="Arial"/>
          <w:szCs w:val="20"/>
        </w:rPr>
        <w:t xml:space="preserve">. </w:t>
      </w:r>
    </w:p>
    <w:p w14:paraId="140A42C4" w14:textId="0A7A839B" w:rsidR="00B02F72" w:rsidRPr="00712EFA" w:rsidRDefault="00B02F72" w:rsidP="00A95427">
      <w:pPr>
        <w:jc w:val="both"/>
        <w:rPr>
          <w:rFonts w:cs="Arial"/>
          <w:szCs w:val="20"/>
        </w:rPr>
      </w:pPr>
      <w:r w:rsidRPr="00712EFA">
        <w:rPr>
          <w:rFonts w:cs="Arial"/>
          <w:szCs w:val="20"/>
        </w:rPr>
        <w:t xml:space="preserve">In </w:t>
      </w:r>
      <w:r w:rsidR="001A4DF2" w:rsidRPr="00712EFA">
        <w:rPr>
          <w:rFonts w:cs="Arial"/>
          <w:szCs w:val="20"/>
        </w:rPr>
        <w:t>deciding which AD method to use, UDOT con</w:t>
      </w:r>
      <w:r w:rsidR="005A2C1B">
        <w:rPr>
          <w:rFonts w:cs="Arial"/>
          <w:szCs w:val="20"/>
        </w:rPr>
        <w:t xml:space="preserve">siders </w:t>
      </w:r>
      <w:r w:rsidR="001A4DF2" w:rsidRPr="00712EFA">
        <w:rPr>
          <w:rFonts w:cs="Arial"/>
          <w:szCs w:val="20"/>
        </w:rPr>
        <w:t>the risk p</w:t>
      </w:r>
      <w:r w:rsidR="005A2C1B">
        <w:rPr>
          <w:rFonts w:cs="Arial"/>
          <w:szCs w:val="20"/>
        </w:rPr>
        <w:t>rofile</w:t>
      </w:r>
      <w:r w:rsidR="001A4DF2" w:rsidRPr="00712EFA">
        <w:rPr>
          <w:rFonts w:cs="Arial"/>
          <w:szCs w:val="20"/>
        </w:rPr>
        <w:t xml:space="preserve"> of the project, and how a specific AD method </w:t>
      </w:r>
      <w:r w:rsidR="00A9702D">
        <w:rPr>
          <w:rFonts w:cs="Arial"/>
          <w:szCs w:val="20"/>
        </w:rPr>
        <w:t xml:space="preserve">can </w:t>
      </w:r>
      <w:r w:rsidR="001A4DF2" w:rsidRPr="00712EFA">
        <w:rPr>
          <w:rFonts w:cs="Arial"/>
          <w:szCs w:val="20"/>
        </w:rPr>
        <w:t>benefit management of the project.</w:t>
      </w:r>
      <w:r w:rsidRPr="00712EFA">
        <w:rPr>
          <w:rFonts w:cs="Arial"/>
          <w:szCs w:val="20"/>
        </w:rPr>
        <w:t xml:space="preserve"> UDOT finds the following project attributes favorable to using DB, and a reason they chose DB for the I-15 Tech Corridor project</w:t>
      </w:r>
      <w:r w:rsidR="00A9702D">
        <w:rPr>
          <w:rFonts w:cs="Arial"/>
          <w:szCs w:val="20"/>
        </w:rPr>
        <w:t>, one of UDOT’s major recent DB projects</w:t>
      </w:r>
      <w:r w:rsidRPr="00712EFA">
        <w:rPr>
          <w:rFonts w:cs="Arial"/>
          <w:szCs w:val="20"/>
        </w:rPr>
        <w:t>:</w:t>
      </w:r>
    </w:p>
    <w:p w14:paraId="0B834A14" w14:textId="19177C8C" w:rsidR="00B02F72" w:rsidRPr="00712EFA" w:rsidRDefault="00B02F72" w:rsidP="00A95427">
      <w:pPr>
        <w:pStyle w:val="ListParagraph"/>
        <w:numPr>
          <w:ilvl w:val="0"/>
          <w:numId w:val="8"/>
        </w:numPr>
        <w:jc w:val="both"/>
        <w:rPr>
          <w:rFonts w:cs="Arial"/>
          <w:szCs w:val="20"/>
        </w:rPr>
      </w:pPr>
      <w:r w:rsidRPr="00712EFA">
        <w:rPr>
          <w:rFonts w:cs="Arial"/>
          <w:szCs w:val="20"/>
        </w:rPr>
        <w:t xml:space="preserve">Complexity – </w:t>
      </w:r>
      <w:r w:rsidR="00BD12A6" w:rsidRPr="00712EFA">
        <w:rPr>
          <w:rFonts w:cs="Arial"/>
          <w:szCs w:val="20"/>
        </w:rPr>
        <w:t xml:space="preserve">DB can </w:t>
      </w:r>
      <w:r w:rsidRPr="00712EFA">
        <w:rPr>
          <w:rFonts w:cs="Arial"/>
          <w:szCs w:val="20"/>
        </w:rPr>
        <w:t xml:space="preserve">attract numerous experts to provide diverse solutions to solve a complex problem with resources a DOT </w:t>
      </w:r>
      <w:r w:rsidR="00583A39">
        <w:rPr>
          <w:rFonts w:cs="Arial"/>
          <w:szCs w:val="20"/>
        </w:rPr>
        <w:t>might not</w:t>
      </w:r>
      <w:r w:rsidR="00B47900">
        <w:rPr>
          <w:rFonts w:cs="Arial"/>
          <w:szCs w:val="20"/>
        </w:rPr>
        <w:t xml:space="preserve"> otherwise</w:t>
      </w:r>
      <w:r w:rsidR="00583A39">
        <w:rPr>
          <w:rFonts w:cs="Arial"/>
          <w:szCs w:val="20"/>
        </w:rPr>
        <w:t xml:space="preserve"> </w:t>
      </w:r>
      <w:r w:rsidRPr="00712EFA">
        <w:rPr>
          <w:rFonts w:cs="Arial"/>
          <w:szCs w:val="20"/>
        </w:rPr>
        <w:t>have;</w:t>
      </w:r>
    </w:p>
    <w:p w14:paraId="775DA60D" w14:textId="371D363F" w:rsidR="00B02F72" w:rsidRPr="00712EFA" w:rsidRDefault="00B02F72" w:rsidP="00A95427">
      <w:pPr>
        <w:pStyle w:val="ListParagraph"/>
        <w:numPr>
          <w:ilvl w:val="0"/>
          <w:numId w:val="8"/>
        </w:numPr>
        <w:jc w:val="both"/>
        <w:rPr>
          <w:rFonts w:cs="Arial"/>
          <w:szCs w:val="20"/>
        </w:rPr>
      </w:pPr>
      <w:r w:rsidRPr="00712EFA">
        <w:rPr>
          <w:rFonts w:cs="Arial"/>
          <w:szCs w:val="20"/>
        </w:rPr>
        <w:t xml:space="preserve">Innovation – </w:t>
      </w:r>
      <w:r w:rsidR="00BD12A6" w:rsidRPr="00712EFA">
        <w:rPr>
          <w:rFonts w:cs="Arial"/>
          <w:szCs w:val="20"/>
        </w:rPr>
        <w:t>DB can address unique challenges</w:t>
      </w:r>
      <w:r w:rsidR="00583A39">
        <w:rPr>
          <w:rFonts w:cs="Arial"/>
          <w:szCs w:val="20"/>
        </w:rPr>
        <w:t xml:space="preserve"> through</w:t>
      </w:r>
      <w:r w:rsidR="009F6E53" w:rsidRPr="00712EFA">
        <w:rPr>
          <w:rFonts w:cs="Arial"/>
          <w:szCs w:val="20"/>
        </w:rPr>
        <w:t xml:space="preserve"> ATCs</w:t>
      </w:r>
      <w:r w:rsidRPr="00712EFA">
        <w:rPr>
          <w:rFonts w:cs="Arial"/>
          <w:szCs w:val="20"/>
        </w:rPr>
        <w:t xml:space="preserve"> proposed during the </w:t>
      </w:r>
      <w:r w:rsidR="00BD12A6" w:rsidRPr="00712EFA">
        <w:rPr>
          <w:rFonts w:cs="Arial"/>
          <w:szCs w:val="20"/>
        </w:rPr>
        <w:t xml:space="preserve">procurement </w:t>
      </w:r>
      <w:r w:rsidRPr="00712EFA">
        <w:rPr>
          <w:rFonts w:cs="Arial"/>
          <w:szCs w:val="20"/>
        </w:rPr>
        <w:t xml:space="preserve">stage that could offer both time savings and lower costs that a DOT </w:t>
      </w:r>
      <w:r w:rsidR="00583A39">
        <w:rPr>
          <w:rFonts w:cs="Arial"/>
          <w:szCs w:val="20"/>
        </w:rPr>
        <w:t>could not</w:t>
      </w:r>
      <w:r w:rsidRPr="00712EFA">
        <w:rPr>
          <w:rFonts w:cs="Arial"/>
          <w:szCs w:val="20"/>
        </w:rPr>
        <w:t xml:space="preserve"> achieve on </w:t>
      </w:r>
      <w:r w:rsidR="00B47900">
        <w:rPr>
          <w:rFonts w:cs="Arial"/>
          <w:szCs w:val="20"/>
        </w:rPr>
        <w:t>its</w:t>
      </w:r>
      <w:r w:rsidRPr="00712EFA">
        <w:rPr>
          <w:rFonts w:cs="Arial"/>
          <w:szCs w:val="20"/>
        </w:rPr>
        <w:t xml:space="preserve"> own. UDOT noted </w:t>
      </w:r>
      <w:r w:rsidR="00CA63BF">
        <w:rPr>
          <w:rFonts w:cs="Arial"/>
          <w:szCs w:val="20"/>
        </w:rPr>
        <w:t xml:space="preserve">that </w:t>
      </w:r>
      <w:r w:rsidRPr="00712EFA">
        <w:rPr>
          <w:rFonts w:cs="Arial"/>
          <w:szCs w:val="20"/>
        </w:rPr>
        <w:t>many ATCs are often smaller in size but greater in volume</w:t>
      </w:r>
      <w:r w:rsidR="005A23E2">
        <w:rPr>
          <w:rFonts w:cs="Arial"/>
          <w:szCs w:val="20"/>
        </w:rPr>
        <w:t xml:space="preserve"> instead of major changes to a project</w:t>
      </w:r>
      <w:r w:rsidRPr="00712EFA">
        <w:rPr>
          <w:rFonts w:cs="Arial"/>
          <w:szCs w:val="20"/>
        </w:rPr>
        <w:t>;</w:t>
      </w:r>
      <w:r w:rsidR="00A17069">
        <w:rPr>
          <w:rFonts w:cs="Arial"/>
          <w:szCs w:val="20"/>
        </w:rPr>
        <w:t xml:space="preserve"> and</w:t>
      </w:r>
    </w:p>
    <w:p w14:paraId="40652300" w14:textId="0AD70340" w:rsidR="000C758B" w:rsidRPr="00712EFA" w:rsidRDefault="00BD12A6" w:rsidP="00A95427">
      <w:pPr>
        <w:pStyle w:val="ListParagraph"/>
        <w:numPr>
          <w:ilvl w:val="0"/>
          <w:numId w:val="8"/>
        </w:numPr>
        <w:jc w:val="both"/>
        <w:rPr>
          <w:rFonts w:cs="Arial"/>
          <w:szCs w:val="20"/>
        </w:rPr>
      </w:pPr>
      <w:r w:rsidRPr="00712EFA">
        <w:rPr>
          <w:rFonts w:cs="Arial"/>
          <w:szCs w:val="20"/>
        </w:rPr>
        <w:t>Schedule</w:t>
      </w:r>
      <w:r w:rsidR="00A94038" w:rsidRPr="00712EFA">
        <w:rPr>
          <w:rFonts w:cs="Arial"/>
          <w:szCs w:val="20"/>
        </w:rPr>
        <w:t xml:space="preserve"> – </w:t>
      </w:r>
      <w:r w:rsidR="000C758B" w:rsidRPr="00712EFA">
        <w:rPr>
          <w:rFonts w:cs="Arial"/>
          <w:szCs w:val="20"/>
        </w:rPr>
        <w:t xml:space="preserve">UDOT considers time savings a secondary factor but can contribute to </w:t>
      </w:r>
      <w:r w:rsidR="0035204A">
        <w:rPr>
          <w:rFonts w:cs="Arial"/>
          <w:szCs w:val="20"/>
        </w:rPr>
        <w:t xml:space="preserve">the </w:t>
      </w:r>
      <w:r w:rsidR="000C758B" w:rsidRPr="00712EFA">
        <w:rPr>
          <w:rFonts w:cs="Arial"/>
          <w:szCs w:val="20"/>
        </w:rPr>
        <w:t xml:space="preserve">decision </w:t>
      </w:r>
      <w:r w:rsidR="00185876">
        <w:rPr>
          <w:rFonts w:cs="Arial"/>
          <w:szCs w:val="20"/>
        </w:rPr>
        <w:t xml:space="preserve">to </w:t>
      </w:r>
      <w:r w:rsidR="000C758B" w:rsidRPr="00712EFA">
        <w:rPr>
          <w:rFonts w:cs="Arial"/>
          <w:szCs w:val="20"/>
        </w:rPr>
        <w:t>choose DB when combined with other factors</w:t>
      </w:r>
      <w:r w:rsidR="00A17069">
        <w:rPr>
          <w:rFonts w:cs="Arial"/>
          <w:szCs w:val="20"/>
        </w:rPr>
        <w:t>.</w:t>
      </w:r>
    </w:p>
    <w:p w14:paraId="69961A04" w14:textId="65F607C3" w:rsidR="006406AF" w:rsidRPr="00712EFA" w:rsidRDefault="00AB6278" w:rsidP="00A95427">
      <w:pPr>
        <w:jc w:val="both"/>
        <w:rPr>
          <w:rFonts w:cs="Arial"/>
          <w:b/>
          <w:bCs/>
          <w:szCs w:val="20"/>
        </w:rPr>
      </w:pPr>
      <w:r w:rsidRPr="00712EFA">
        <w:rPr>
          <w:rFonts w:cs="Arial"/>
          <w:szCs w:val="20"/>
        </w:rPr>
        <w:t xml:space="preserve">UDOT then shared key lessons learned in using DB: </w:t>
      </w:r>
    </w:p>
    <w:p w14:paraId="5D3FC4CC" w14:textId="00B5E533" w:rsidR="00AB6278" w:rsidRPr="00712EFA" w:rsidRDefault="006406AF" w:rsidP="00A95427">
      <w:pPr>
        <w:pStyle w:val="ListParagraph"/>
        <w:numPr>
          <w:ilvl w:val="0"/>
          <w:numId w:val="9"/>
        </w:numPr>
        <w:jc w:val="both"/>
        <w:rPr>
          <w:rFonts w:cs="Arial"/>
          <w:b/>
          <w:bCs/>
          <w:szCs w:val="20"/>
        </w:rPr>
      </w:pPr>
      <w:r w:rsidRPr="00712EFA">
        <w:rPr>
          <w:rFonts w:cs="Arial"/>
          <w:szCs w:val="20"/>
        </w:rPr>
        <w:t>Learning curve for DOT staff –</w:t>
      </w:r>
      <w:r w:rsidR="006108AD" w:rsidRPr="00712EFA">
        <w:rPr>
          <w:rFonts w:cs="Arial"/>
          <w:szCs w:val="20"/>
        </w:rPr>
        <w:t xml:space="preserve"> Staff should be trained in how the relationship between a DOT and the Design-Builder differs in terms of control and decision making </w:t>
      </w:r>
      <w:r w:rsidR="00FA1116">
        <w:rPr>
          <w:rFonts w:cs="Arial"/>
          <w:szCs w:val="20"/>
        </w:rPr>
        <w:t>compared to</w:t>
      </w:r>
      <w:r w:rsidR="006108AD" w:rsidRPr="00712EFA">
        <w:rPr>
          <w:rFonts w:cs="Arial"/>
          <w:szCs w:val="20"/>
        </w:rPr>
        <w:t xml:space="preserve"> a DBB procurement;</w:t>
      </w:r>
    </w:p>
    <w:p w14:paraId="01FB7D15" w14:textId="5D267778" w:rsidR="00AB6278" w:rsidRPr="00712EFA" w:rsidRDefault="006406AF" w:rsidP="00A95427">
      <w:pPr>
        <w:pStyle w:val="ListParagraph"/>
        <w:numPr>
          <w:ilvl w:val="0"/>
          <w:numId w:val="9"/>
        </w:numPr>
        <w:jc w:val="both"/>
        <w:rPr>
          <w:rFonts w:cs="Arial"/>
          <w:b/>
          <w:bCs/>
          <w:szCs w:val="20"/>
        </w:rPr>
      </w:pPr>
      <w:r w:rsidRPr="00712EFA">
        <w:rPr>
          <w:rFonts w:cs="Arial"/>
          <w:szCs w:val="20"/>
        </w:rPr>
        <w:t xml:space="preserve">Flexible approach to risk </w:t>
      </w:r>
      <w:r w:rsidR="006108AD" w:rsidRPr="00712EFA">
        <w:rPr>
          <w:rFonts w:cs="Arial"/>
          <w:szCs w:val="20"/>
        </w:rPr>
        <w:t>allocation</w:t>
      </w:r>
      <w:r w:rsidRPr="00712EFA">
        <w:rPr>
          <w:rFonts w:cs="Arial"/>
          <w:szCs w:val="20"/>
        </w:rPr>
        <w:t xml:space="preserve"> – </w:t>
      </w:r>
      <w:r w:rsidR="006108AD" w:rsidRPr="00712EFA">
        <w:rPr>
          <w:rFonts w:cs="Arial"/>
          <w:szCs w:val="20"/>
        </w:rPr>
        <w:t xml:space="preserve">DOTs should be </w:t>
      </w:r>
      <w:r w:rsidRPr="00712EFA">
        <w:rPr>
          <w:rFonts w:cs="Arial"/>
          <w:szCs w:val="20"/>
        </w:rPr>
        <w:t xml:space="preserve">strategic to allocate </w:t>
      </w:r>
      <w:r w:rsidR="006108AD" w:rsidRPr="00712EFA">
        <w:rPr>
          <w:rFonts w:cs="Arial"/>
          <w:szCs w:val="20"/>
        </w:rPr>
        <w:t xml:space="preserve">risk as each project is </w:t>
      </w:r>
      <w:r w:rsidR="00583A39" w:rsidRPr="00712EFA">
        <w:rPr>
          <w:rFonts w:cs="Arial"/>
          <w:szCs w:val="20"/>
        </w:rPr>
        <w:t>unique</w:t>
      </w:r>
      <w:r w:rsidR="006108AD" w:rsidRPr="00712EFA">
        <w:rPr>
          <w:rFonts w:cs="Arial"/>
          <w:szCs w:val="20"/>
        </w:rPr>
        <w:t xml:space="preserve">. DOTs should </w:t>
      </w:r>
      <w:r w:rsidR="00583A39">
        <w:rPr>
          <w:rFonts w:cs="Arial"/>
          <w:szCs w:val="20"/>
        </w:rPr>
        <w:t xml:space="preserve">only allocate risk where </w:t>
      </w:r>
      <w:r w:rsidR="006108AD" w:rsidRPr="00712EFA">
        <w:rPr>
          <w:rFonts w:cs="Arial"/>
          <w:szCs w:val="20"/>
        </w:rPr>
        <w:t xml:space="preserve">appropriate and </w:t>
      </w:r>
      <w:r w:rsidR="00583A39">
        <w:rPr>
          <w:rFonts w:cs="Arial"/>
          <w:szCs w:val="20"/>
        </w:rPr>
        <w:t xml:space="preserve">not place itself in a </w:t>
      </w:r>
      <w:r w:rsidR="006108AD" w:rsidRPr="00712EFA">
        <w:rPr>
          <w:rFonts w:cs="Arial"/>
          <w:szCs w:val="20"/>
        </w:rPr>
        <w:t>position to pay</w:t>
      </w:r>
      <w:r w:rsidR="00AC34A9">
        <w:rPr>
          <w:rFonts w:cs="Arial"/>
          <w:szCs w:val="20"/>
        </w:rPr>
        <w:t xml:space="preserve"> for allocating </w:t>
      </w:r>
      <w:r w:rsidR="00540B6E">
        <w:rPr>
          <w:rFonts w:cs="Arial"/>
          <w:szCs w:val="20"/>
        </w:rPr>
        <w:t>too much</w:t>
      </w:r>
      <w:r w:rsidR="00AC34A9">
        <w:rPr>
          <w:rFonts w:cs="Arial"/>
          <w:szCs w:val="20"/>
        </w:rPr>
        <w:t xml:space="preserve"> risk</w:t>
      </w:r>
      <w:r w:rsidR="006108AD" w:rsidRPr="00712EFA">
        <w:rPr>
          <w:rFonts w:cs="Arial"/>
          <w:szCs w:val="20"/>
        </w:rPr>
        <w:t xml:space="preserve"> to the Design-Builder; </w:t>
      </w:r>
    </w:p>
    <w:p w14:paraId="7E7FDC36" w14:textId="5C9E1CB5" w:rsidR="00AB6278" w:rsidRPr="00712EFA" w:rsidRDefault="006108AD" w:rsidP="00A95427">
      <w:pPr>
        <w:pStyle w:val="ListParagraph"/>
        <w:numPr>
          <w:ilvl w:val="0"/>
          <w:numId w:val="9"/>
        </w:numPr>
        <w:jc w:val="both"/>
        <w:rPr>
          <w:rFonts w:cs="Arial"/>
          <w:b/>
          <w:bCs/>
          <w:szCs w:val="20"/>
        </w:rPr>
      </w:pPr>
      <w:r w:rsidRPr="00712EFA">
        <w:rPr>
          <w:rFonts w:cs="Arial"/>
          <w:szCs w:val="20"/>
        </w:rPr>
        <w:t xml:space="preserve">Stipends </w:t>
      </w:r>
      <w:r w:rsidR="00540B6E">
        <w:rPr>
          <w:rFonts w:cs="Arial"/>
          <w:szCs w:val="20"/>
        </w:rPr>
        <w:t xml:space="preserve">to unsuccessful proposers should be considered as </w:t>
      </w:r>
      <w:r w:rsidRPr="00712EFA">
        <w:rPr>
          <w:rFonts w:cs="Arial"/>
          <w:szCs w:val="20"/>
        </w:rPr>
        <w:t>an investment</w:t>
      </w:r>
      <w:r w:rsidR="00563DB2">
        <w:rPr>
          <w:rFonts w:cs="Arial"/>
          <w:szCs w:val="20"/>
        </w:rPr>
        <w:t xml:space="preserve"> leading to</w:t>
      </w:r>
      <w:r w:rsidRPr="00712EFA">
        <w:rPr>
          <w:rFonts w:cs="Arial"/>
          <w:szCs w:val="20"/>
        </w:rPr>
        <w:t xml:space="preserve"> innovation and other ideas necessary for the project to succeed; and </w:t>
      </w:r>
    </w:p>
    <w:p w14:paraId="74712515" w14:textId="11764DDA" w:rsidR="00B346B7" w:rsidRPr="000C560A" w:rsidRDefault="006108AD" w:rsidP="00A95427">
      <w:pPr>
        <w:pStyle w:val="ListParagraph"/>
        <w:numPr>
          <w:ilvl w:val="0"/>
          <w:numId w:val="9"/>
        </w:numPr>
        <w:jc w:val="both"/>
        <w:rPr>
          <w:rFonts w:cs="Arial"/>
          <w:b/>
          <w:bCs/>
          <w:szCs w:val="20"/>
        </w:rPr>
      </w:pPr>
      <w:r w:rsidRPr="00712EFA">
        <w:rPr>
          <w:rFonts w:cs="Arial"/>
          <w:szCs w:val="20"/>
        </w:rPr>
        <w:t>Use performance-based</w:t>
      </w:r>
      <w:r w:rsidR="006406AF" w:rsidRPr="00712EFA">
        <w:rPr>
          <w:rFonts w:cs="Arial"/>
          <w:szCs w:val="20"/>
        </w:rPr>
        <w:t xml:space="preserve"> requirements</w:t>
      </w:r>
      <w:r w:rsidR="00320844">
        <w:rPr>
          <w:rFonts w:cs="Arial"/>
          <w:szCs w:val="20"/>
        </w:rPr>
        <w:t xml:space="preserve"> instead of prescriptive requirements where possible to give the Design-Builder flexibility to innovate.</w:t>
      </w:r>
      <w:r w:rsidR="006406AF" w:rsidRPr="00712EFA">
        <w:rPr>
          <w:rFonts w:cs="Arial"/>
          <w:szCs w:val="20"/>
        </w:rPr>
        <w:t xml:space="preserve"> </w:t>
      </w:r>
    </w:p>
    <w:p w14:paraId="4EE2372E" w14:textId="11B59100" w:rsidR="00453CE6" w:rsidRPr="00712EFA" w:rsidRDefault="00FA4517" w:rsidP="00A95427">
      <w:pPr>
        <w:jc w:val="both"/>
        <w:rPr>
          <w:rFonts w:cs="Arial"/>
          <w:szCs w:val="20"/>
          <w:u w:val="single"/>
        </w:rPr>
      </w:pPr>
      <w:r>
        <w:rPr>
          <w:rFonts w:cs="Arial"/>
          <w:szCs w:val="20"/>
          <w:u w:val="single"/>
        </w:rPr>
        <w:t>Environmental Experience</w:t>
      </w:r>
    </w:p>
    <w:p w14:paraId="5775D3DC" w14:textId="7FA91DD2" w:rsidR="006406AF" w:rsidRPr="00712EFA" w:rsidRDefault="006108AD" w:rsidP="00A95427">
      <w:pPr>
        <w:jc w:val="both"/>
        <w:rPr>
          <w:rFonts w:cs="Arial"/>
          <w:b/>
          <w:bCs/>
          <w:szCs w:val="20"/>
        </w:rPr>
      </w:pPr>
      <w:r w:rsidRPr="00712EFA">
        <w:rPr>
          <w:rFonts w:cs="Arial"/>
          <w:szCs w:val="20"/>
        </w:rPr>
        <w:t xml:space="preserve">UDOT noted </w:t>
      </w:r>
      <w:r w:rsidR="006406AF" w:rsidRPr="00712EFA">
        <w:rPr>
          <w:rFonts w:cs="Arial"/>
          <w:szCs w:val="20"/>
        </w:rPr>
        <w:t xml:space="preserve">CFR </w:t>
      </w:r>
      <w:r w:rsidRPr="00712EFA">
        <w:rPr>
          <w:rFonts w:cs="Arial"/>
          <w:szCs w:val="20"/>
        </w:rPr>
        <w:t xml:space="preserve">regulations </w:t>
      </w:r>
      <w:r w:rsidR="006406AF" w:rsidRPr="00712EFA">
        <w:rPr>
          <w:rFonts w:cs="Arial"/>
          <w:szCs w:val="20"/>
        </w:rPr>
        <w:t xml:space="preserve">allow DOTs to </w:t>
      </w:r>
      <w:r w:rsidR="00453CE6" w:rsidRPr="00712EFA">
        <w:rPr>
          <w:rFonts w:cs="Arial"/>
          <w:szCs w:val="20"/>
        </w:rPr>
        <w:t xml:space="preserve">select the Design-Builder prior to completing the environmental clearance process. However, UDOT </w:t>
      </w:r>
      <w:r w:rsidR="00F63630">
        <w:rPr>
          <w:rFonts w:cs="Arial"/>
          <w:szCs w:val="20"/>
        </w:rPr>
        <w:t>notes that</w:t>
      </w:r>
      <w:r w:rsidR="00453CE6" w:rsidRPr="00712EFA">
        <w:rPr>
          <w:rFonts w:cs="Arial"/>
          <w:szCs w:val="20"/>
        </w:rPr>
        <w:t xml:space="preserve"> DOTs </w:t>
      </w:r>
      <w:r w:rsidR="00F63630">
        <w:rPr>
          <w:rFonts w:cs="Arial"/>
          <w:szCs w:val="20"/>
        </w:rPr>
        <w:t xml:space="preserve">may consider </w:t>
      </w:r>
      <w:r w:rsidR="00453CE6" w:rsidRPr="00712EFA">
        <w:rPr>
          <w:rFonts w:cs="Arial"/>
          <w:szCs w:val="20"/>
        </w:rPr>
        <w:t>not advertis</w:t>
      </w:r>
      <w:r w:rsidR="00F63630">
        <w:rPr>
          <w:rFonts w:cs="Arial"/>
          <w:szCs w:val="20"/>
        </w:rPr>
        <w:t>ing</w:t>
      </w:r>
      <w:r w:rsidR="00453CE6" w:rsidRPr="00712EFA">
        <w:rPr>
          <w:rFonts w:cs="Arial"/>
          <w:szCs w:val="20"/>
        </w:rPr>
        <w:t xml:space="preserve"> the RFP until all environmental permitting and processes are completed</w:t>
      </w:r>
      <w:r w:rsidR="00BC1790">
        <w:rPr>
          <w:rFonts w:cs="Arial"/>
          <w:szCs w:val="20"/>
        </w:rPr>
        <w:t>,</w:t>
      </w:r>
      <w:r w:rsidR="00453CE6" w:rsidRPr="00712EFA">
        <w:rPr>
          <w:rFonts w:cs="Arial"/>
          <w:szCs w:val="20"/>
        </w:rPr>
        <w:t xml:space="preserve"> which would ensure the Design-Builder would only be responsible for environmental re-evaluations if necessary. </w:t>
      </w:r>
    </w:p>
    <w:p w14:paraId="50CE6909" w14:textId="1530B839" w:rsidR="006406AF" w:rsidRPr="00712EFA" w:rsidRDefault="00453CE6" w:rsidP="00A95427">
      <w:pPr>
        <w:jc w:val="both"/>
        <w:rPr>
          <w:rFonts w:cs="Arial"/>
          <w:b/>
          <w:bCs/>
          <w:szCs w:val="20"/>
        </w:rPr>
      </w:pPr>
      <w:r w:rsidRPr="00712EFA">
        <w:rPr>
          <w:rFonts w:cs="Arial"/>
          <w:szCs w:val="20"/>
        </w:rPr>
        <w:t xml:space="preserve">Utah is classified as a </w:t>
      </w:r>
      <w:r w:rsidR="006406AF" w:rsidRPr="00712EFA">
        <w:rPr>
          <w:rFonts w:cs="Arial"/>
          <w:szCs w:val="20"/>
        </w:rPr>
        <w:t>NEPA Assignment State</w:t>
      </w:r>
      <w:r w:rsidR="00352CCA">
        <w:rPr>
          <w:rFonts w:cs="Arial"/>
          <w:szCs w:val="20"/>
        </w:rPr>
        <w:t>,</w:t>
      </w:r>
      <w:r w:rsidRPr="00712EFA">
        <w:rPr>
          <w:rFonts w:cs="Arial"/>
          <w:szCs w:val="20"/>
        </w:rPr>
        <w:t xml:space="preserve"> which means </w:t>
      </w:r>
      <w:r w:rsidR="004B5AEA">
        <w:rPr>
          <w:rFonts w:cs="Arial"/>
          <w:szCs w:val="20"/>
        </w:rPr>
        <w:t>Utah</w:t>
      </w:r>
      <w:r w:rsidR="00974AF7" w:rsidRPr="00712EFA">
        <w:rPr>
          <w:rFonts w:cs="Arial"/>
          <w:szCs w:val="20"/>
        </w:rPr>
        <w:t xml:space="preserve"> </w:t>
      </w:r>
      <w:r w:rsidR="00E87505">
        <w:rPr>
          <w:rFonts w:cs="Arial"/>
          <w:szCs w:val="20"/>
        </w:rPr>
        <w:t>has been delegated</w:t>
      </w:r>
      <w:r w:rsidR="00974AF7" w:rsidRPr="00712EFA">
        <w:rPr>
          <w:rFonts w:cs="Arial"/>
          <w:szCs w:val="20"/>
        </w:rPr>
        <w:t xml:space="preserve"> responsibility for </w:t>
      </w:r>
      <w:r w:rsidR="004B5AEA">
        <w:rPr>
          <w:rFonts w:cs="Arial"/>
          <w:szCs w:val="20"/>
        </w:rPr>
        <w:t xml:space="preserve">environmental clearance on </w:t>
      </w:r>
      <w:r w:rsidR="00974AF7" w:rsidRPr="00712EFA">
        <w:rPr>
          <w:rFonts w:cs="Arial"/>
          <w:szCs w:val="20"/>
        </w:rPr>
        <w:t>transportation projects</w:t>
      </w:r>
      <w:r w:rsidR="00E87505">
        <w:rPr>
          <w:rFonts w:cs="Arial"/>
          <w:szCs w:val="20"/>
        </w:rPr>
        <w:t xml:space="preserve"> from FHWA</w:t>
      </w:r>
      <w:r w:rsidR="00974AF7" w:rsidRPr="00712EFA">
        <w:rPr>
          <w:rFonts w:cs="Arial"/>
          <w:szCs w:val="20"/>
        </w:rPr>
        <w:t xml:space="preserve">. Even with this status, </w:t>
      </w:r>
      <w:r w:rsidR="0061559B">
        <w:rPr>
          <w:rFonts w:cs="Arial"/>
          <w:szCs w:val="20"/>
        </w:rPr>
        <w:t>Utah has not experienced a significant</w:t>
      </w:r>
      <w:r w:rsidR="00974AF7" w:rsidRPr="00712EFA">
        <w:rPr>
          <w:rFonts w:cs="Arial"/>
          <w:szCs w:val="20"/>
        </w:rPr>
        <w:t xml:space="preserve"> difference in terms of NEPA compliance and other requirements </w:t>
      </w:r>
      <w:r w:rsidR="0061559B">
        <w:rPr>
          <w:rFonts w:cs="Arial"/>
          <w:szCs w:val="20"/>
        </w:rPr>
        <w:t>between</w:t>
      </w:r>
      <w:r w:rsidR="00974AF7" w:rsidRPr="00712EFA">
        <w:rPr>
          <w:rFonts w:cs="Arial"/>
          <w:szCs w:val="20"/>
        </w:rPr>
        <w:t xml:space="preserve"> DB </w:t>
      </w:r>
      <w:r w:rsidR="0061559B">
        <w:rPr>
          <w:rFonts w:cs="Arial"/>
          <w:szCs w:val="20"/>
        </w:rPr>
        <w:t>and</w:t>
      </w:r>
      <w:r w:rsidR="00974AF7" w:rsidRPr="00712EFA">
        <w:rPr>
          <w:rFonts w:cs="Arial"/>
          <w:szCs w:val="20"/>
        </w:rPr>
        <w:t xml:space="preserve"> DBB. Since DB is usually used for larger, more complex projects, DB projects tend to follow a more robust NEPA analysis with mitigation commitments incorporated into the RFP. </w:t>
      </w:r>
    </w:p>
    <w:p w14:paraId="3FE257E7" w14:textId="4455764E" w:rsidR="00273427" w:rsidRPr="00712EFA" w:rsidRDefault="00917002" w:rsidP="00A95427">
      <w:pPr>
        <w:jc w:val="both"/>
        <w:rPr>
          <w:rFonts w:cs="Arial"/>
          <w:b/>
          <w:bCs/>
          <w:szCs w:val="20"/>
        </w:rPr>
      </w:pPr>
      <w:r w:rsidRPr="00712EFA">
        <w:rPr>
          <w:rFonts w:cs="Arial"/>
          <w:szCs w:val="20"/>
        </w:rPr>
        <w:lastRenderedPageBreak/>
        <w:t xml:space="preserve">UDOT </w:t>
      </w:r>
      <w:r w:rsidR="003E2D5E" w:rsidRPr="00712EFA">
        <w:rPr>
          <w:rFonts w:cs="Arial"/>
          <w:szCs w:val="20"/>
        </w:rPr>
        <w:t xml:space="preserve">lastly </w:t>
      </w:r>
      <w:r w:rsidRPr="00712EFA">
        <w:rPr>
          <w:rFonts w:cs="Arial"/>
          <w:szCs w:val="20"/>
        </w:rPr>
        <w:t>noted</w:t>
      </w:r>
      <w:r w:rsidR="00893141">
        <w:rPr>
          <w:rFonts w:cs="Arial"/>
          <w:szCs w:val="20"/>
        </w:rPr>
        <w:t xml:space="preserve"> that</w:t>
      </w:r>
      <w:r w:rsidRPr="00712EFA">
        <w:rPr>
          <w:rFonts w:cs="Arial"/>
          <w:szCs w:val="20"/>
        </w:rPr>
        <w:t xml:space="preserve"> the Design-Builder </w:t>
      </w:r>
      <w:r w:rsidR="003E2D5E" w:rsidRPr="00712EFA">
        <w:rPr>
          <w:rFonts w:cs="Arial"/>
          <w:szCs w:val="20"/>
        </w:rPr>
        <w:t xml:space="preserve">is </w:t>
      </w:r>
      <w:r w:rsidRPr="00712EFA">
        <w:rPr>
          <w:rFonts w:cs="Arial"/>
          <w:szCs w:val="20"/>
        </w:rPr>
        <w:t>responsible for</w:t>
      </w:r>
      <w:r w:rsidR="004E422A">
        <w:rPr>
          <w:rFonts w:cs="Arial"/>
          <w:szCs w:val="20"/>
        </w:rPr>
        <w:t xml:space="preserve"> </w:t>
      </w:r>
      <w:r w:rsidR="00A504C3">
        <w:rPr>
          <w:rFonts w:cs="Arial"/>
          <w:szCs w:val="20"/>
        </w:rPr>
        <w:t xml:space="preserve">the work to </w:t>
      </w:r>
      <w:r w:rsidR="005A0B3A">
        <w:rPr>
          <w:rFonts w:cs="Arial"/>
          <w:szCs w:val="20"/>
        </w:rPr>
        <w:t>obtain</w:t>
      </w:r>
      <w:r w:rsidR="003E2D5E" w:rsidRPr="00712EFA">
        <w:rPr>
          <w:rFonts w:cs="Arial"/>
          <w:szCs w:val="20"/>
        </w:rPr>
        <w:t xml:space="preserve"> </w:t>
      </w:r>
      <w:r w:rsidRPr="00712EFA">
        <w:rPr>
          <w:rFonts w:cs="Arial"/>
          <w:szCs w:val="20"/>
        </w:rPr>
        <w:t xml:space="preserve">additional NEPA compliance and permitting </w:t>
      </w:r>
      <w:r w:rsidR="003E2D5E" w:rsidRPr="00712EFA">
        <w:rPr>
          <w:rFonts w:cs="Arial"/>
          <w:szCs w:val="20"/>
        </w:rPr>
        <w:t xml:space="preserve">for any accepted ATC. </w:t>
      </w:r>
      <w:r w:rsidR="005A0B3A">
        <w:rPr>
          <w:rFonts w:cs="Arial"/>
          <w:szCs w:val="20"/>
        </w:rPr>
        <w:t xml:space="preserve">However, </w:t>
      </w:r>
      <w:r w:rsidR="003E2D5E" w:rsidRPr="00712EFA">
        <w:rPr>
          <w:rFonts w:cs="Arial"/>
          <w:szCs w:val="20"/>
        </w:rPr>
        <w:t>UDOT retains the authority</w:t>
      </w:r>
      <w:r w:rsidR="00F31094">
        <w:rPr>
          <w:rFonts w:cs="Arial"/>
          <w:szCs w:val="20"/>
        </w:rPr>
        <w:t xml:space="preserve"> over NEPA</w:t>
      </w:r>
      <w:r w:rsidR="009D638E">
        <w:rPr>
          <w:rFonts w:cs="Arial"/>
          <w:szCs w:val="20"/>
        </w:rPr>
        <w:t xml:space="preserve"> </w:t>
      </w:r>
      <w:r w:rsidR="00375066">
        <w:rPr>
          <w:rFonts w:cs="Arial"/>
          <w:szCs w:val="20"/>
        </w:rPr>
        <w:t>clearance for UDOT projects</w:t>
      </w:r>
      <w:r w:rsidR="003E2D5E" w:rsidRPr="00712EFA">
        <w:rPr>
          <w:rFonts w:cs="Arial"/>
          <w:szCs w:val="20"/>
        </w:rPr>
        <w:t xml:space="preserve"> </w:t>
      </w:r>
      <w:r w:rsidR="007B0A1C">
        <w:rPr>
          <w:rFonts w:cs="Arial"/>
          <w:szCs w:val="20"/>
        </w:rPr>
        <w:t>and will</w:t>
      </w:r>
      <w:r w:rsidR="003E2D5E" w:rsidRPr="00712EFA">
        <w:rPr>
          <w:rFonts w:cs="Arial"/>
          <w:szCs w:val="20"/>
        </w:rPr>
        <w:t xml:space="preserve"> review and</w:t>
      </w:r>
      <w:r w:rsidR="007B0A1C">
        <w:rPr>
          <w:rFonts w:cs="Arial"/>
          <w:szCs w:val="20"/>
        </w:rPr>
        <w:t>, if acceptable,</w:t>
      </w:r>
      <w:r w:rsidR="003E2D5E" w:rsidRPr="00712EFA">
        <w:rPr>
          <w:rFonts w:cs="Arial"/>
          <w:szCs w:val="20"/>
        </w:rPr>
        <w:t xml:space="preserve"> approve </w:t>
      </w:r>
      <w:r w:rsidR="007B0A1C">
        <w:rPr>
          <w:rFonts w:cs="Arial"/>
          <w:szCs w:val="20"/>
        </w:rPr>
        <w:t xml:space="preserve">any </w:t>
      </w:r>
      <w:r w:rsidR="003E2D5E" w:rsidRPr="00712EFA">
        <w:rPr>
          <w:rFonts w:cs="Arial"/>
          <w:szCs w:val="20"/>
        </w:rPr>
        <w:t>additional NEPA compliance</w:t>
      </w:r>
      <w:r w:rsidR="007B0A1C">
        <w:rPr>
          <w:rFonts w:cs="Arial"/>
          <w:szCs w:val="20"/>
        </w:rPr>
        <w:t xml:space="preserve"> actions, including</w:t>
      </w:r>
      <w:r w:rsidR="003E2D5E" w:rsidRPr="00712EFA">
        <w:rPr>
          <w:rFonts w:cs="Arial"/>
          <w:szCs w:val="20"/>
        </w:rPr>
        <w:t xml:space="preserve"> NEPA re-evaluation</w:t>
      </w:r>
      <w:r w:rsidR="007B0A1C">
        <w:rPr>
          <w:rFonts w:cs="Arial"/>
          <w:szCs w:val="20"/>
        </w:rPr>
        <w:t>s</w:t>
      </w:r>
      <w:r w:rsidR="003E2D5E" w:rsidRPr="00712EFA">
        <w:rPr>
          <w:rFonts w:cs="Arial"/>
          <w:szCs w:val="20"/>
        </w:rPr>
        <w:t xml:space="preserve">. </w:t>
      </w:r>
    </w:p>
    <w:p w14:paraId="010AB4C6" w14:textId="53D96847" w:rsidR="00CF2761" w:rsidRPr="00712EFA" w:rsidRDefault="00CF2761" w:rsidP="00A95427">
      <w:pPr>
        <w:jc w:val="both"/>
        <w:rPr>
          <w:rFonts w:cs="Arial"/>
          <w:b/>
          <w:bCs/>
          <w:szCs w:val="20"/>
          <w:u w:val="single"/>
        </w:rPr>
      </w:pPr>
      <w:r w:rsidRPr="00712EFA">
        <w:rPr>
          <w:rFonts w:cs="Arial"/>
          <w:b/>
          <w:bCs/>
          <w:szCs w:val="20"/>
          <w:u w:val="single"/>
        </w:rPr>
        <w:t>Q&amp;A</w:t>
      </w:r>
    </w:p>
    <w:p w14:paraId="1C733EE2" w14:textId="1FE49D2E" w:rsidR="00263934" w:rsidRDefault="001078AF" w:rsidP="00A95427">
      <w:pPr>
        <w:pStyle w:val="ListParagraph"/>
        <w:numPr>
          <w:ilvl w:val="0"/>
          <w:numId w:val="10"/>
        </w:numPr>
        <w:jc w:val="both"/>
        <w:rPr>
          <w:rFonts w:cs="Arial"/>
          <w:szCs w:val="20"/>
        </w:rPr>
      </w:pPr>
      <w:r w:rsidRPr="00712EFA">
        <w:rPr>
          <w:rFonts w:cs="Arial"/>
          <w:szCs w:val="20"/>
        </w:rPr>
        <w:t xml:space="preserve">For </w:t>
      </w:r>
      <w:r w:rsidR="00CF2761" w:rsidRPr="00712EFA">
        <w:rPr>
          <w:rFonts w:cs="Arial"/>
          <w:szCs w:val="20"/>
        </w:rPr>
        <w:t xml:space="preserve">Gary PA: </w:t>
      </w:r>
      <w:r w:rsidR="00263934">
        <w:rPr>
          <w:rFonts w:cs="Arial"/>
          <w:szCs w:val="20"/>
        </w:rPr>
        <w:t>Can you q</w:t>
      </w:r>
      <w:r w:rsidR="00CF2761" w:rsidRPr="00712EFA">
        <w:rPr>
          <w:rFonts w:cs="Arial"/>
          <w:szCs w:val="20"/>
        </w:rPr>
        <w:t>uantify change orders</w:t>
      </w:r>
      <w:r w:rsidR="00263934">
        <w:rPr>
          <w:rFonts w:cs="Arial"/>
          <w:szCs w:val="20"/>
        </w:rPr>
        <w:t xml:space="preserve"> on DB projects?</w:t>
      </w:r>
      <w:r w:rsidR="00CF2761" w:rsidRPr="00712EFA">
        <w:rPr>
          <w:rFonts w:cs="Arial"/>
          <w:szCs w:val="20"/>
        </w:rPr>
        <w:t xml:space="preserve"> </w:t>
      </w:r>
    </w:p>
    <w:p w14:paraId="198F102F" w14:textId="07016A9A" w:rsidR="00CF2761" w:rsidRPr="00A17069" w:rsidRDefault="00263934" w:rsidP="00A17069">
      <w:pPr>
        <w:pStyle w:val="ListParagraph"/>
        <w:numPr>
          <w:ilvl w:val="1"/>
          <w:numId w:val="10"/>
        </w:numPr>
        <w:jc w:val="both"/>
        <w:rPr>
          <w:rFonts w:cs="Arial"/>
          <w:szCs w:val="20"/>
        </w:rPr>
      </w:pPr>
      <w:r>
        <w:rPr>
          <w:rFonts w:cs="Arial"/>
          <w:szCs w:val="20"/>
        </w:rPr>
        <w:t xml:space="preserve">Answer: </w:t>
      </w:r>
      <w:r w:rsidR="00CF2761" w:rsidRPr="00712EFA">
        <w:rPr>
          <w:rFonts w:cs="Arial"/>
          <w:szCs w:val="20"/>
        </w:rPr>
        <w:t>2-3% on DB price</w:t>
      </w:r>
      <w:r w:rsidR="00FA6AE5">
        <w:rPr>
          <w:rFonts w:cs="Arial"/>
          <w:szCs w:val="20"/>
        </w:rPr>
        <w:t>,</w:t>
      </w:r>
      <w:r w:rsidR="00CF2761" w:rsidRPr="00712EFA">
        <w:rPr>
          <w:rFonts w:cs="Arial"/>
          <w:szCs w:val="20"/>
        </w:rPr>
        <w:t xml:space="preserve"> which is normal</w:t>
      </w:r>
      <w:r w:rsidR="00A17069">
        <w:rPr>
          <w:rFonts w:cs="Arial"/>
          <w:szCs w:val="20"/>
        </w:rPr>
        <w:t>.</w:t>
      </w:r>
      <w:r w:rsidR="00CF2761" w:rsidRPr="00712EFA">
        <w:rPr>
          <w:rFonts w:cs="Arial"/>
          <w:szCs w:val="20"/>
        </w:rPr>
        <w:t xml:space="preserve"> </w:t>
      </w:r>
    </w:p>
    <w:p w14:paraId="5D66D3C4" w14:textId="77777777" w:rsidR="00CF2761" w:rsidRPr="00712EFA" w:rsidRDefault="00CF2761" w:rsidP="00A95427">
      <w:pPr>
        <w:pStyle w:val="ListParagraph"/>
        <w:jc w:val="both"/>
        <w:rPr>
          <w:rFonts w:cs="Arial"/>
          <w:szCs w:val="20"/>
        </w:rPr>
      </w:pPr>
    </w:p>
    <w:p w14:paraId="22165471" w14:textId="7E71D8E5" w:rsidR="001078AF" w:rsidRPr="00712EFA" w:rsidRDefault="001078AF" w:rsidP="00A95427">
      <w:pPr>
        <w:pStyle w:val="ListParagraph"/>
        <w:numPr>
          <w:ilvl w:val="0"/>
          <w:numId w:val="4"/>
        </w:numPr>
        <w:jc w:val="both"/>
        <w:rPr>
          <w:rFonts w:cs="Arial"/>
          <w:szCs w:val="20"/>
        </w:rPr>
      </w:pPr>
      <w:r w:rsidRPr="00712EFA">
        <w:rPr>
          <w:rFonts w:cs="Arial"/>
          <w:szCs w:val="20"/>
        </w:rPr>
        <w:t xml:space="preserve">For </w:t>
      </w:r>
      <w:r w:rsidR="00CF2761" w:rsidRPr="00712EFA">
        <w:rPr>
          <w:rFonts w:cs="Arial"/>
          <w:szCs w:val="20"/>
        </w:rPr>
        <w:t xml:space="preserve">Gary: Was </w:t>
      </w:r>
      <w:r w:rsidR="00A24A55">
        <w:rPr>
          <w:rFonts w:cs="Arial"/>
          <w:szCs w:val="20"/>
        </w:rPr>
        <w:t xml:space="preserve">the Section </w:t>
      </w:r>
      <w:r w:rsidR="00CF2761" w:rsidRPr="00712EFA">
        <w:rPr>
          <w:rFonts w:cs="Arial"/>
          <w:szCs w:val="20"/>
        </w:rPr>
        <w:t xml:space="preserve">106 </w:t>
      </w:r>
      <w:r w:rsidR="00A94038" w:rsidRPr="00712EFA">
        <w:rPr>
          <w:rFonts w:cs="Arial"/>
          <w:szCs w:val="20"/>
        </w:rPr>
        <w:t>determination</w:t>
      </w:r>
      <w:r w:rsidR="00CF2761" w:rsidRPr="00712EFA">
        <w:rPr>
          <w:rFonts w:cs="Arial"/>
          <w:szCs w:val="20"/>
        </w:rPr>
        <w:t xml:space="preserve"> kept with DOT</w:t>
      </w:r>
      <w:r w:rsidRPr="00712EFA">
        <w:rPr>
          <w:rFonts w:cs="Arial"/>
          <w:szCs w:val="20"/>
        </w:rPr>
        <w:t>?</w:t>
      </w:r>
    </w:p>
    <w:p w14:paraId="7EB413C1" w14:textId="7032D390" w:rsidR="00CF2761" w:rsidRPr="00712EFA" w:rsidRDefault="001078AF" w:rsidP="00A95427">
      <w:pPr>
        <w:pStyle w:val="ListParagraph"/>
        <w:numPr>
          <w:ilvl w:val="1"/>
          <w:numId w:val="4"/>
        </w:numPr>
        <w:jc w:val="both"/>
        <w:rPr>
          <w:rFonts w:cs="Arial"/>
          <w:szCs w:val="20"/>
        </w:rPr>
      </w:pPr>
      <w:r w:rsidRPr="00712EFA">
        <w:rPr>
          <w:rFonts w:cs="Arial"/>
          <w:szCs w:val="20"/>
        </w:rPr>
        <w:t xml:space="preserve">Answer: </w:t>
      </w:r>
      <w:r w:rsidR="00CF2761" w:rsidRPr="00712EFA">
        <w:rPr>
          <w:rFonts w:cs="Arial"/>
          <w:szCs w:val="20"/>
        </w:rPr>
        <w:t>Yes</w:t>
      </w:r>
      <w:r w:rsidR="004E5BA6" w:rsidRPr="00712EFA">
        <w:rPr>
          <w:rFonts w:cs="Arial"/>
          <w:szCs w:val="20"/>
        </w:rPr>
        <w:t>,</w:t>
      </w:r>
      <w:r w:rsidR="00CF2761" w:rsidRPr="00712EFA">
        <w:rPr>
          <w:rFonts w:cs="Arial"/>
          <w:szCs w:val="20"/>
        </w:rPr>
        <w:t xml:space="preserve"> it was</w:t>
      </w:r>
      <w:r w:rsidR="004E5BA6" w:rsidRPr="00712EFA">
        <w:rPr>
          <w:rFonts w:cs="Arial"/>
          <w:szCs w:val="20"/>
        </w:rPr>
        <w:t>.</w:t>
      </w:r>
      <w:r w:rsidR="00CF2761" w:rsidRPr="00712EFA">
        <w:rPr>
          <w:rFonts w:cs="Arial"/>
          <w:szCs w:val="20"/>
        </w:rPr>
        <w:t xml:space="preserve"> </w:t>
      </w:r>
    </w:p>
    <w:p w14:paraId="14A35424" w14:textId="77777777" w:rsidR="00CF2761" w:rsidRPr="00712EFA" w:rsidRDefault="00CF2761" w:rsidP="00A95427">
      <w:pPr>
        <w:pStyle w:val="ListParagraph"/>
        <w:jc w:val="both"/>
        <w:rPr>
          <w:rFonts w:cs="Arial"/>
          <w:szCs w:val="20"/>
        </w:rPr>
      </w:pPr>
    </w:p>
    <w:p w14:paraId="0D2F7783" w14:textId="49BAD42A" w:rsidR="001078AF" w:rsidRPr="00712EFA" w:rsidRDefault="001078AF" w:rsidP="00A95427">
      <w:pPr>
        <w:pStyle w:val="ListParagraph"/>
        <w:numPr>
          <w:ilvl w:val="0"/>
          <w:numId w:val="4"/>
        </w:numPr>
        <w:jc w:val="both"/>
        <w:rPr>
          <w:rFonts w:cs="Arial"/>
          <w:szCs w:val="20"/>
        </w:rPr>
      </w:pPr>
      <w:r w:rsidRPr="00712EFA">
        <w:rPr>
          <w:rFonts w:cs="Arial"/>
          <w:szCs w:val="20"/>
        </w:rPr>
        <w:t xml:space="preserve">For </w:t>
      </w:r>
      <w:r w:rsidR="00CF2761" w:rsidRPr="00712EFA">
        <w:rPr>
          <w:rFonts w:cs="Arial"/>
          <w:szCs w:val="20"/>
        </w:rPr>
        <w:t xml:space="preserve">Gary: </w:t>
      </w:r>
      <w:r w:rsidRPr="00712EFA">
        <w:rPr>
          <w:rFonts w:cs="Arial"/>
          <w:szCs w:val="20"/>
        </w:rPr>
        <w:t xml:space="preserve">For </w:t>
      </w:r>
      <w:r w:rsidR="00CF2761" w:rsidRPr="00712EFA">
        <w:rPr>
          <w:rFonts w:cs="Arial"/>
          <w:szCs w:val="20"/>
        </w:rPr>
        <w:t>wetland permitting</w:t>
      </w:r>
      <w:r w:rsidRPr="00712EFA">
        <w:rPr>
          <w:rFonts w:cs="Arial"/>
          <w:szCs w:val="20"/>
        </w:rPr>
        <w:t>,</w:t>
      </w:r>
      <w:r w:rsidR="00CF2761" w:rsidRPr="00712EFA">
        <w:rPr>
          <w:rFonts w:cs="Arial"/>
          <w:szCs w:val="20"/>
        </w:rPr>
        <w:t xml:space="preserve"> were you allowed to group permit</w:t>
      </w:r>
      <w:r w:rsidRPr="00712EFA">
        <w:rPr>
          <w:rFonts w:cs="Arial"/>
          <w:szCs w:val="20"/>
        </w:rPr>
        <w:t>s</w:t>
      </w:r>
      <w:r w:rsidR="00CF2761" w:rsidRPr="00712EFA">
        <w:rPr>
          <w:rFonts w:cs="Arial"/>
          <w:szCs w:val="20"/>
        </w:rPr>
        <w:t xml:space="preserve"> </w:t>
      </w:r>
      <w:r w:rsidRPr="00712EFA">
        <w:rPr>
          <w:rFonts w:cs="Arial"/>
          <w:szCs w:val="20"/>
        </w:rPr>
        <w:t xml:space="preserve">for all the bridges? Or were they for </w:t>
      </w:r>
      <w:r w:rsidR="00CF2761" w:rsidRPr="00712EFA">
        <w:rPr>
          <w:rFonts w:cs="Arial"/>
          <w:szCs w:val="20"/>
        </w:rPr>
        <w:t xml:space="preserve">each </w:t>
      </w:r>
      <w:r w:rsidRPr="00712EFA">
        <w:rPr>
          <w:rFonts w:cs="Arial"/>
          <w:szCs w:val="20"/>
        </w:rPr>
        <w:t>individual</w:t>
      </w:r>
      <w:r w:rsidR="00CF2761" w:rsidRPr="00712EFA">
        <w:rPr>
          <w:rFonts w:cs="Arial"/>
          <w:szCs w:val="20"/>
        </w:rPr>
        <w:t xml:space="preserve"> bridge? </w:t>
      </w:r>
    </w:p>
    <w:p w14:paraId="64EDDF7B" w14:textId="504CED0E" w:rsidR="00CF2761" w:rsidRPr="00712EFA" w:rsidRDefault="001078AF" w:rsidP="00A95427">
      <w:pPr>
        <w:pStyle w:val="ListParagraph"/>
        <w:numPr>
          <w:ilvl w:val="1"/>
          <w:numId w:val="4"/>
        </w:numPr>
        <w:jc w:val="both"/>
        <w:rPr>
          <w:rFonts w:cs="Arial"/>
          <w:szCs w:val="20"/>
        </w:rPr>
      </w:pPr>
      <w:r w:rsidRPr="00712EFA">
        <w:rPr>
          <w:rFonts w:cs="Arial"/>
          <w:szCs w:val="20"/>
        </w:rPr>
        <w:t xml:space="preserve">Answer: </w:t>
      </w:r>
      <w:r w:rsidR="00CF2761" w:rsidRPr="00712EFA">
        <w:rPr>
          <w:rFonts w:cs="Arial"/>
          <w:szCs w:val="20"/>
        </w:rPr>
        <w:t>Each bridge needed its own permits</w:t>
      </w:r>
      <w:r w:rsidRPr="00712EFA">
        <w:rPr>
          <w:rFonts w:cs="Arial"/>
          <w:szCs w:val="20"/>
        </w:rPr>
        <w:t>.</w:t>
      </w:r>
      <w:r w:rsidR="00CF2761" w:rsidRPr="00712EFA">
        <w:rPr>
          <w:rFonts w:cs="Arial"/>
          <w:szCs w:val="20"/>
        </w:rPr>
        <w:t xml:space="preserve"> </w:t>
      </w:r>
    </w:p>
    <w:p w14:paraId="4BFBFF84" w14:textId="77777777" w:rsidR="00CF2761" w:rsidRPr="00712EFA" w:rsidRDefault="00CF2761" w:rsidP="00A95427">
      <w:pPr>
        <w:pStyle w:val="ListParagraph"/>
        <w:jc w:val="both"/>
        <w:rPr>
          <w:rFonts w:cs="Arial"/>
          <w:szCs w:val="20"/>
        </w:rPr>
      </w:pPr>
    </w:p>
    <w:p w14:paraId="3AB13B72" w14:textId="322F02DC" w:rsidR="00CF2761" w:rsidRPr="00712EFA" w:rsidRDefault="004E5BA6" w:rsidP="00A95427">
      <w:pPr>
        <w:pStyle w:val="ListParagraph"/>
        <w:numPr>
          <w:ilvl w:val="0"/>
          <w:numId w:val="4"/>
        </w:numPr>
        <w:jc w:val="both"/>
        <w:rPr>
          <w:rFonts w:cs="Arial"/>
          <w:szCs w:val="20"/>
        </w:rPr>
      </w:pPr>
      <w:r w:rsidRPr="00712EFA">
        <w:rPr>
          <w:rFonts w:cs="Arial"/>
          <w:szCs w:val="20"/>
        </w:rPr>
        <w:t xml:space="preserve">For </w:t>
      </w:r>
      <w:r w:rsidR="00CF2761" w:rsidRPr="00712EFA">
        <w:rPr>
          <w:rFonts w:cs="Arial"/>
          <w:szCs w:val="20"/>
        </w:rPr>
        <w:t xml:space="preserve">Gary: </w:t>
      </w:r>
      <w:r w:rsidRPr="00712EFA">
        <w:rPr>
          <w:rFonts w:cs="Arial"/>
          <w:szCs w:val="20"/>
        </w:rPr>
        <w:t xml:space="preserve">Where we can find the </w:t>
      </w:r>
      <w:r w:rsidR="00CF2761" w:rsidRPr="00712EFA">
        <w:rPr>
          <w:rFonts w:cs="Arial"/>
          <w:szCs w:val="20"/>
        </w:rPr>
        <w:t>Section 4</w:t>
      </w:r>
      <w:r w:rsidR="00E41682">
        <w:rPr>
          <w:rFonts w:cs="Arial"/>
          <w:szCs w:val="20"/>
        </w:rPr>
        <w:t>(</w:t>
      </w:r>
      <w:r w:rsidR="00CF2761" w:rsidRPr="00712EFA">
        <w:rPr>
          <w:rFonts w:cs="Arial"/>
          <w:szCs w:val="20"/>
        </w:rPr>
        <w:t>f</w:t>
      </w:r>
      <w:r w:rsidR="00E41682">
        <w:rPr>
          <w:rFonts w:cs="Arial"/>
          <w:szCs w:val="20"/>
        </w:rPr>
        <w:t>)</w:t>
      </w:r>
      <w:r w:rsidR="00CF2761" w:rsidRPr="00712EFA">
        <w:rPr>
          <w:rFonts w:cs="Arial"/>
          <w:szCs w:val="20"/>
        </w:rPr>
        <w:t xml:space="preserve"> template and </w:t>
      </w:r>
      <w:r w:rsidRPr="00712EFA">
        <w:rPr>
          <w:rFonts w:cs="Arial"/>
          <w:szCs w:val="20"/>
        </w:rPr>
        <w:t>S</w:t>
      </w:r>
      <w:r w:rsidR="00CF2761" w:rsidRPr="00712EFA">
        <w:rPr>
          <w:rFonts w:cs="Arial"/>
          <w:szCs w:val="20"/>
        </w:rPr>
        <w:t xml:space="preserve">ection 106 docs? Where are they? </w:t>
      </w:r>
    </w:p>
    <w:p w14:paraId="1E169DFF" w14:textId="2197E83D" w:rsidR="004E5BA6" w:rsidRPr="00712EFA" w:rsidRDefault="004E5BA6" w:rsidP="00A95427">
      <w:pPr>
        <w:pStyle w:val="ListParagraph"/>
        <w:numPr>
          <w:ilvl w:val="1"/>
          <w:numId w:val="4"/>
        </w:numPr>
        <w:jc w:val="both"/>
        <w:rPr>
          <w:rFonts w:cs="Arial"/>
          <w:szCs w:val="20"/>
        </w:rPr>
      </w:pPr>
      <w:r w:rsidRPr="00712EFA">
        <w:rPr>
          <w:rFonts w:cs="Arial"/>
          <w:szCs w:val="20"/>
        </w:rPr>
        <w:t xml:space="preserve">Answer: Gary to </w:t>
      </w:r>
      <w:r w:rsidR="00A17069">
        <w:rPr>
          <w:rFonts w:cs="Arial"/>
          <w:szCs w:val="20"/>
        </w:rPr>
        <w:t xml:space="preserve">provide. </w:t>
      </w:r>
    </w:p>
    <w:p w14:paraId="207184AF" w14:textId="77777777" w:rsidR="004E5BA6" w:rsidRPr="00712EFA" w:rsidRDefault="004E5BA6" w:rsidP="00A95427">
      <w:pPr>
        <w:pStyle w:val="ListParagraph"/>
        <w:ind w:left="1440"/>
        <w:jc w:val="both"/>
        <w:rPr>
          <w:rFonts w:cs="Arial"/>
          <w:szCs w:val="20"/>
        </w:rPr>
      </w:pPr>
    </w:p>
    <w:p w14:paraId="0DA92A55" w14:textId="77777777" w:rsidR="004E5BA6" w:rsidRPr="00712EFA" w:rsidRDefault="004E5BA6" w:rsidP="00A95427">
      <w:pPr>
        <w:pStyle w:val="ListParagraph"/>
        <w:numPr>
          <w:ilvl w:val="0"/>
          <w:numId w:val="4"/>
        </w:numPr>
        <w:jc w:val="both"/>
        <w:rPr>
          <w:rFonts w:cs="Arial"/>
          <w:szCs w:val="20"/>
        </w:rPr>
      </w:pPr>
      <w:r w:rsidRPr="00712EFA">
        <w:rPr>
          <w:rFonts w:cs="Arial"/>
          <w:szCs w:val="20"/>
        </w:rPr>
        <w:t xml:space="preserve">For </w:t>
      </w:r>
      <w:r w:rsidR="00CF2761" w:rsidRPr="00712EFA">
        <w:rPr>
          <w:rFonts w:cs="Arial"/>
          <w:szCs w:val="20"/>
        </w:rPr>
        <w:t xml:space="preserve">Gary: </w:t>
      </w:r>
      <w:r w:rsidRPr="00712EFA">
        <w:rPr>
          <w:rFonts w:cs="Arial"/>
          <w:szCs w:val="20"/>
        </w:rPr>
        <w:t>Did PennDOT utilize a D</w:t>
      </w:r>
      <w:r w:rsidR="00CF2761" w:rsidRPr="00712EFA">
        <w:rPr>
          <w:rFonts w:cs="Arial"/>
          <w:szCs w:val="20"/>
        </w:rPr>
        <w:t xml:space="preserve">ispute </w:t>
      </w:r>
      <w:r w:rsidRPr="00712EFA">
        <w:rPr>
          <w:rFonts w:cs="Arial"/>
          <w:szCs w:val="20"/>
        </w:rPr>
        <w:t>R</w:t>
      </w:r>
      <w:r w:rsidR="00CF2761" w:rsidRPr="00712EFA">
        <w:rPr>
          <w:rFonts w:cs="Arial"/>
          <w:szCs w:val="20"/>
        </w:rPr>
        <w:t xml:space="preserve">esolution </w:t>
      </w:r>
      <w:r w:rsidRPr="00712EFA">
        <w:rPr>
          <w:rFonts w:cs="Arial"/>
          <w:szCs w:val="20"/>
        </w:rPr>
        <w:t>P</w:t>
      </w:r>
      <w:r w:rsidR="00CF2761" w:rsidRPr="00712EFA">
        <w:rPr>
          <w:rFonts w:cs="Arial"/>
          <w:szCs w:val="20"/>
        </w:rPr>
        <w:t>anel to resolve</w:t>
      </w:r>
      <w:r w:rsidRPr="00712EFA">
        <w:rPr>
          <w:rFonts w:cs="Arial"/>
          <w:szCs w:val="20"/>
        </w:rPr>
        <w:t xml:space="preserve"> to resolve disputes for the RBR project</w:t>
      </w:r>
      <w:r w:rsidR="00CF2761" w:rsidRPr="00712EFA">
        <w:rPr>
          <w:rFonts w:cs="Arial"/>
          <w:szCs w:val="20"/>
        </w:rPr>
        <w:t xml:space="preserve">? </w:t>
      </w:r>
    </w:p>
    <w:p w14:paraId="03D9196E" w14:textId="10A39A8A" w:rsidR="00CF2761" w:rsidRPr="00712EFA" w:rsidRDefault="004E5BA6" w:rsidP="00A95427">
      <w:pPr>
        <w:pStyle w:val="ListParagraph"/>
        <w:numPr>
          <w:ilvl w:val="1"/>
          <w:numId w:val="4"/>
        </w:numPr>
        <w:jc w:val="both"/>
        <w:rPr>
          <w:rFonts w:cs="Arial"/>
          <w:szCs w:val="20"/>
        </w:rPr>
      </w:pPr>
      <w:r w:rsidRPr="00712EFA">
        <w:rPr>
          <w:rFonts w:cs="Arial"/>
          <w:szCs w:val="20"/>
        </w:rPr>
        <w:t xml:space="preserve">Answer: </w:t>
      </w:r>
      <w:r w:rsidR="00CF2761" w:rsidRPr="00712EFA">
        <w:rPr>
          <w:rFonts w:cs="Arial"/>
          <w:szCs w:val="20"/>
        </w:rPr>
        <w:t xml:space="preserve">Yes – only a </w:t>
      </w:r>
      <w:r w:rsidR="00E41682">
        <w:rPr>
          <w:rFonts w:cs="Arial"/>
          <w:szCs w:val="20"/>
        </w:rPr>
        <w:t>few</w:t>
      </w:r>
      <w:r w:rsidR="00E41682" w:rsidRPr="00712EFA">
        <w:rPr>
          <w:rFonts w:cs="Arial"/>
          <w:szCs w:val="20"/>
        </w:rPr>
        <w:t xml:space="preserve"> </w:t>
      </w:r>
      <w:r w:rsidR="00CF2761" w:rsidRPr="00712EFA">
        <w:rPr>
          <w:rFonts w:cs="Arial"/>
          <w:szCs w:val="20"/>
        </w:rPr>
        <w:t xml:space="preserve">disputes went to </w:t>
      </w:r>
      <w:r w:rsidRPr="00712EFA">
        <w:rPr>
          <w:rFonts w:cs="Arial"/>
          <w:szCs w:val="20"/>
        </w:rPr>
        <w:t xml:space="preserve">the </w:t>
      </w:r>
      <w:r w:rsidR="00CF2761" w:rsidRPr="00712EFA">
        <w:rPr>
          <w:rFonts w:cs="Arial"/>
          <w:szCs w:val="20"/>
        </w:rPr>
        <w:t xml:space="preserve">panel. </w:t>
      </w:r>
      <w:r w:rsidRPr="00712EFA">
        <w:rPr>
          <w:rFonts w:cs="Arial"/>
          <w:szCs w:val="20"/>
        </w:rPr>
        <w:t>The k</w:t>
      </w:r>
      <w:r w:rsidR="00CF2761" w:rsidRPr="00712EFA">
        <w:rPr>
          <w:rFonts w:cs="Arial"/>
          <w:szCs w:val="20"/>
        </w:rPr>
        <w:t>ey to success is having a determined person to work through all disputes</w:t>
      </w:r>
      <w:r w:rsidRPr="00712EFA">
        <w:rPr>
          <w:rFonts w:cs="Arial"/>
          <w:szCs w:val="20"/>
        </w:rPr>
        <w:t>. I recommend ke</w:t>
      </w:r>
      <w:r w:rsidR="00CF2761" w:rsidRPr="00712EFA">
        <w:rPr>
          <w:rFonts w:cs="Arial"/>
          <w:szCs w:val="20"/>
        </w:rPr>
        <w:t>ep</w:t>
      </w:r>
      <w:r w:rsidRPr="00712EFA">
        <w:rPr>
          <w:rFonts w:cs="Arial"/>
          <w:szCs w:val="20"/>
        </w:rPr>
        <w:t>ing the</w:t>
      </w:r>
      <w:r w:rsidR="00CF2761" w:rsidRPr="00712EFA">
        <w:rPr>
          <w:rFonts w:cs="Arial"/>
          <w:szCs w:val="20"/>
        </w:rPr>
        <w:t xml:space="preserve"> panel abreast of project progress. </w:t>
      </w:r>
    </w:p>
    <w:p w14:paraId="17DCFF92" w14:textId="77777777" w:rsidR="00CF2761" w:rsidRPr="00712EFA" w:rsidRDefault="00CF2761" w:rsidP="00A95427">
      <w:pPr>
        <w:pStyle w:val="ListParagraph"/>
        <w:jc w:val="both"/>
        <w:rPr>
          <w:rFonts w:cs="Arial"/>
          <w:szCs w:val="20"/>
        </w:rPr>
      </w:pPr>
    </w:p>
    <w:p w14:paraId="36AB9A98" w14:textId="77777777" w:rsidR="00691587" w:rsidRPr="00712EFA" w:rsidRDefault="004E5BA6" w:rsidP="00A95427">
      <w:pPr>
        <w:pStyle w:val="ListParagraph"/>
        <w:numPr>
          <w:ilvl w:val="0"/>
          <w:numId w:val="4"/>
        </w:numPr>
        <w:jc w:val="both"/>
        <w:rPr>
          <w:rFonts w:cs="Arial"/>
          <w:szCs w:val="20"/>
        </w:rPr>
      </w:pPr>
      <w:r w:rsidRPr="00712EFA">
        <w:rPr>
          <w:rFonts w:cs="Arial"/>
          <w:szCs w:val="20"/>
        </w:rPr>
        <w:t xml:space="preserve">For </w:t>
      </w:r>
      <w:r w:rsidR="00CF2761" w:rsidRPr="00712EFA">
        <w:rPr>
          <w:rFonts w:cs="Arial"/>
          <w:szCs w:val="20"/>
        </w:rPr>
        <w:t xml:space="preserve">Gary: </w:t>
      </w:r>
      <w:r w:rsidR="00691587" w:rsidRPr="00712EFA">
        <w:rPr>
          <w:rFonts w:cs="Arial"/>
          <w:szCs w:val="20"/>
        </w:rPr>
        <w:t xml:space="preserve">What type of payment package was the RBR project? </w:t>
      </w:r>
    </w:p>
    <w:p w14:paraId="018EB9E3" w14:textId="5BB54001" w:rsidR="00BF21A9" w:rsidRDefault="00691587" w:rsidP="00405077">
      <w:pPr>
        <w:pStyle w:val="ListParagraph"/>
        <w:numPr>
          <w:ilvl w:val="1"/>
          <w:numId w:val="4"/>
        </w:numPr>
        <w:jc w:val="both"/>
        <w:rPr>
          <w:rFonts w:cs="Arial"/>
          <w:szCs w:val="20"/>
        </w:rPr>
      </w:pPr>
      <w:r w:rsidRPr="001C5FF5">
        <w:rPr>
          <w:rFonts w:cs="Arial"/>
          <w:szCs w:val="20"/>
        </w:rPr>
        <w:t xml:space="preserve">Answer: </w:t>
      </w:r>
      <w:r w:rsidR="00CF2761" w:rsidRPr="001C5FF5">
        <w:rPr>
          <w:rFonts w:cs="Arial"/>
          <w:szCs w:val="20"/>
        </w:rPr>
        <w:t>Availability payment</w:t>
      </w:r>
      <w:r w:rsidRPr="001C5FF5">
        <w:rPr>
          <w:rFonts w:cs="Arial"/>
          <w:szCs w:val="20"/>
        </w:rPr>
        <w:t xml:space="preserve">s were used. </w:t>
      </w:r>
    </w:p>
    <w:p w14:paraId="53654A04" w14:textId="77777777" w:rsidR="00A17069" w:rsidRPr="001C5FF5" w:rsidRDefault="00A17069" w:rsidP="00A17069">
      <w:pPr>
        <w:pStyle w:val="ListParagraph"/>
        <w:ind w:left="1440"/>
        <w:jc w:val="both"/>
        <w:rPr>
          <w:rFonts w:cs="Arial"/>
          <w:szCs w:val="20"/>
        </w:rPr>
      </w:pPr>
    </w:p>
    <w:p w14:paraId="6D6889C4" w14:textId="77777777" w:rsidR="00D705EF" w:rsidRPr="00712EFA" w:rsidRDefault="00D705EF" w:rsidP="00A95427">
      <w:pPr>
        <w:pStyle w:val="ListParagraph"/>
        <w:numPr>
          <w:ilvl w:val="0"/>
          <w:numId w:val="4"/>
        </w:numPr>
        <w:jc w:val="both"/>
        <w:rPr>
          <w:rFonts w:cs="Arial"/>
          <w:szCs w:val="20"/>
        </w:rPr>
      </w:pPr>
      <w:r w:rsidRPr="00712EFA">
        <w:rPr>
          <w:rFonts w:cs="Arial"/>
          <w:szCs w:val="20"/>
        </w:rPr>
        <w:t xml:space="preserve">For </w:t>
      </w:r>
      <w:r w:rsidR="00BF21A9" w:rsidRPr="00712EFA">
        <w:rPr>
          <w:rFonts w:cs="Arial"/>
          <w:szCs w:val="20"/>
        </w:rPr>
        <w:t xml:space="preserve">Mark: Do you know if FHWA is considering changes to 23 CFR 636.109 based on PennDOT's experience with the SEP-15 process? </w:t>
      </w:r>
    </w:p>
    <w:p w14:paraId="7C526F8F" w14:textId="1189C90E" w:rsidR="00BF21A9" w:rsidRPr="00712EFA" w:rsidRDefault="00D705EF" w:rsidP="00A95427">
      <w:pPr>
        <w:pStyle w:val="ListParagraph"/>
        <w:numPr>
          <w:ilvl w:val="1"/>
          <w:numId w:val="4"/>
        </w:numPr>
        <w:jc w:val="both"/>
        <w:rPr>
          <w:rFonts w:cs="Arial"/>
          <w:szCs w:val="20"/>
        </w:rPr>
      </w:pPr>
      <w:r w:rsidRPr="00712EFA">
        <w:rPr>
          <w:rFonts w:cs="Arial"/>
          <w:szCs w:val="20"/>
        </w:rPr>
        <w:t xml:space="preserve">Answer: </w:t>
      </w:r>
      <w:r w:rsidR="00BF21A9" w:rsidRPr="00712EFA">
        <w:rPr>
          <w:rFonts w:cs="Arial"/>
          <w:szCs w:val="20"/>
        </w:rPr>
        <w:t xml:space="preserve">Mark said </w:t>
      </w:r>
      <w:r w:rsidRPr="00712EFA">
        <w:rPr>
          <w:rFonts w:cs="Arial"/>
          <w:szCs w:val="20"/>
        </w:rPr>
        <w:t xml:space="preserve">PennDOT </w:t>
      </w:r>
      <w:r w:rsidR="00BF21A9" w:rsidRPr="00712EFA">
        <w:rPr>
          <w:rFonts w:cs="Arial"/>
          <w:szCs w:val="20"/>
        </w:rPr>
        <w:t xml:space="preserve">sent their recommendation to FHWA. </w:t>
      </w:r>
    </w:p>
    <w:p w14:paraId="40C993F9" w14:textId="77777777" w:rsidR="00BF21A9" w:rsidRPr="00712EFA" w:rsidRDefault="00BF21A9" w:rsidP="00A95427">
      <w:pPr>
        <w:pStyle w:val="ListParagraph"/>
        <w:jc w:val="both"/>
        <w:rPr>
          <w:rFonts w:cs="Arial"/>
          <w:szCs w:val="20"/>
        </w:rPr>
      </w:pPr>
    </w:p>
    <w:p w14:paraId="37DAB17D" w14:textId="77777777" w:rsidR="00D705EF" w:rsidRPr="00712EFA" w:rsidRDefault="00BF21A9" w:rsidP="00A95427">
      <w:pPr>
        <w:pStyle w:val="ListParagraph"/>
        <w:numPr>
          <w:ilvl w:val="0"/>
          <w:numId w:val="4"/>
        </w:numPr>
        <w:jc w:val="both"/>
        <w:rPr>
          <w:rFonts w:cs="Arial"/>
          <w:szCs w:val="20"/>
        </w:rPr>
      </w:pPr>
      <w:r w:rsidRPr="00712EFA">
        <w:rPr>
          <w:rFonts w:cs="Arial"/>
          <w:szCs w:val="20"/>
        </w:rPr>
        <w:t>The new guidance for use of the NEVI funding requires all NEPA review and other environmental work be done prior to obligation of funds AND the project must be delivered within 6 months.</w:t>
      </w:r>
      <w:r w:rsidR="00D705EF" w:rsidRPr="00712EFA">
        <w:rPr>
          <w:rFonts w:cs="Arial"/>
          <w:szCs w:val="20"/>
        </w:rPr>
        <w:t xml:space="preserve"> </w:t>
      </w:r>
      <w:r w:rsidRPr="00712EFA">
        <w:rPr>
          <w:rFonts w:cs="Arial"/>
          <w:szCs w:val="20"/>
        </w:rPr>
        <w:t>Can any of the presenters speak to how your agency is preparing for that?</w:t>
      </w:r>
    </w:p>
    <w:p w14:paraId="63C5E1D8" w14:textId="2A193A85" w:rsidR="00BF21A9" w:rsidRPr="00712EFA" w:rsidRDefault="00BF21A9" w:rsidP="00A95427">
      <w:pPr>
        <w:pStyle w:val="ListParagraph"/>
        <w:numPr>
          <w:ilvl w:val="1"/>
          <w:numId w:val="4"/>
        </w:numPr>
        <w:jc w:val="both"/>
        <w:rPr>
          <w:rFonts w:cs="Arial"/>
          <w:szCs w:val="20"/>
        </w:rPr>
      </w:pPr>
      <w:r w:rsidRPr="00712EFA">
        <w:rPr>
          <w:rFonts w:cs="Arial"/>
          <w:szCs w:val="20"/>
        </w:rPr>
        <w:t>M</w:t>
      </w:r>
      <w:r w:rsidR="00D705EF" w:rsidRPr="00712EFA">
        <w:rPr>
          <w:rFonts w:cs="Arial"/>
          <w:szCs w:val="20"/>
        </w:rPr>
        <w:t>nDOT:</w:t>
      </w:r>
      <w:r w:rsidRPr="00712EFA">
        <w:rPr>
          <w:rFonts w:cs="Arial"/>
          <w:szCs w:val="20"/>
        </w:rPr>
        <w:t xml:space="preserve"> As far as NEVI funding goes, we have almost always completed NEPA documentation before advertisement and almost all of our projects are delivered (if not closed out) within 6 months of that advertisement, so I have hopes that we will not need to change anything major</w:t>
      </w:r>
      <w:r w:rsidR="00D705EF" w:rsidRPr="00712EFA">
        <w:rPr>
          <w:rFonts w:cs="Arial"/>
          <w:szCs w:val="20"/>
        </w:rPr>
        <w:t>.</w:t>
      </w:r>
    </w:p>
    <w:p w14:paraId="0F0543C1" w14:textId="12D7D14E" w:rsidR="00BF21A9" w:rsidRPr="00712EFA" w:rsidRDefault="00BF21A9" w:rsidP="00A95427">
      <w:pPr>
        <w:pStyle w:val="ListParagraph"/>
        <w:numPr>
          <w:ilvl w:val="1"/>
          <w:numId w:val="4"/>
        </w:numPr>
        <w:jc w:val="both"/>
        <w:rPr>
          <w:rFonts w:cs="Arial"/>
          <w:szCs w:val="20"/>
        </w:rPr>
      </w:pPr>
      <w:r w:rsidRPr="00712EFA">
        <w:rPr>
          <w:rFonts w:cs="Arial"/>
          <w:szCs w:val="20"/>
        </w:rPr>
        <w:t>UDOT</w:t>
      </w:r>
      <w:r w:rsidR="00D705EF" w:rsidRPr="00712EFA">
        <w:rPr>
          <w:rFonts w:cs="Arial"/>
          <w:szCs w:val="20"/>
        </w:rPr>
        <w:t xml:space="preserve">: </w:t>
      </w:r>
      <w:r w:rsidRPr="00712EFA">
        <w:rPr>
          <w:rFonts w:cs="Arial"/>
          <w:szCs w:val="20"/>
        </w:rPr>
        <w:t xml:space="preserve">Still trying to understand their own options on this. Not much to offer here. </w:t>
      </w:r>
    </w:p>
    <w:p w14:paraId="0EA4A6FE" w14:textId="77777777" w:rsidR="00BF21A9" w:rsidRPr="00712EFA" w:rsidRDefault="00BF21A9" w:rsidP="00A95427">
      <w:pPr>
        <w:pStyle w:val="ListParagraph"/>
        <w:ind w:left="1440"/>
        <w:jc w:val="both"/>
        <w:rPr>
          <w:rFonts w:cs="Arial"/>
          <w:szCs w:val="20"/>
        </w:rPr>
      </w:pPr>
    </w:p>
    <w:p w14:paraId="76349A2A" w14:textId="5DA725FA" w:rsidR="00BF21A9" w:rsidRPr="00712EFA" w:rsidRDefault="00BF21A9" w:rsidP="00A95427">
      <w:pPr>
        <w:pStyle w:val="ListParagraph"/>
        <w:numPr>
          <w:ilvl w:val="0"/>
          <w:numId w:val="4"/>
        </w:numPr>
        <w:jc w:val="both"/>
        <w:rPr>
          <w:rFonts w:cs="Arial"/>
          <w:szCs w:val="20"/>
        </w:rPr>
      </w:pPr>
      <w:r w:rsidRPr="00712EFA">
        <w:rPr>
          <w:rFonts w:cs="Arial"/>
          <w:szCs w:val="20"/>
        </w:rPr>
        <w:t>How do you manage contamination encountered during construction and does FHWA participate in cleanup costs?</w:t>
      </w:r>
    </w:p>
    <w:p w14:paraId="7068E180" w14:textId="3FBC89B6" w:rsidR="00BF21A9" w:rsidRPr="00712EFA" w:rsidRDefault="00BF21A9" w:rsidP="00A95427">
      <w:pPr>
        <w:pStyle w:val="ListParagraph"/>
        <w:numPr>
          <w:ilvl w:val="1"/>
          <w:numId w:val="4"/>
        </w:numPr>
        <w:jc w:val="both"/>
        <w:rPr>
          <w:rFonts w:cs="Arial"/>
          <w:szCs w:val="20"/>
        </w:rPr>
      </w:pPr>
      <w:r w:rsidRPr="00712EFA">
        <w:rPr>
          <w:rFonts w:cs="Arial"/>
          <w:szCs w:val="20"/>
        </w:rPr>
        <w:t>M</w:t>
      </w:r>
      <w:r w:rsidR="00D705EF" w:rsidRPr="00712EFA">
        <w:rPr>
          <w:rFonts w:cs="Arial"/>
          <w:szCs w:val="20"/>
        </w:rPr>
        <w:t>nDOT</w:t>
      </w:r>
      <w:r w:rsidRPr="00712EFA">
        <w:rPr>
          <w:rFonts w:cs="Arial"/>
          <w:szCs w:val="20"/>
        </w:rPr>
        <w:t>: Regarding contamination, we do our Phase 1-2 investigations 'as usual'.  We then tell the contractor that they are responsible to dispose of contamination found in areas where we expected it (Known) and MnDOT (usually not the FHWA) will grant a change order for contamination found in areas where it wasn't expected (Unknown). We find it's important to include a map of Known vs Unknown areas to clarify the risk allocation.</w:t>
      </w:r>
    </w:p>
    <w:p w14:paraId="254A4494" w14:textId="77777777" w:rsidR="00BF21A9" w:rsidRPr="00712EFA" w:rsidRDefault="00BF21A9" w:rsidP="00A95427">
      <w:pPr>
        <w:pStyle w:val="ListParagraph"/>
        <w:ind w:left="1440"/>
        <w:jc w:val="both"/>
        <w:rPr>
          <w:rFonts w:cs="Arial"/>
          <w:szCs w:val="20"/>
        </w:rPr>
      </w:pPr>
    </w:p>
    <w:p w14:paraId="0FA351A6" w14:textId="42BF4060" w:rsidR="00BF21A9" w:rsidRPr="00712EFA" w:rsidRDefault="00D705EF" w:rsidP="00A95427">
      <w:pPr>
        <w:pStyle w:val="ListParagraph"/>
        <w:numPr>
          <w:ilvl w:val="0"/>
          <w:numId w:val="4"/>
        </w:numPr>
        <w:jc w:val="both"/>
        <w:rPr>
          <w:rFonts w:cs="Arial"/>
          <w:szCs w:val="20"/>
        </w:rPr>
      </w:pPr>
      <w:r w:rsidRPr="00712EFA">
        <w:rPr>
          <w:rFonts w:cs="Arial"/>
          <w:szCs w:val="20"/>
        </w:rPr>
        <w:t xml:space="preserve">For Peter: </w:t>
      </w:r>
      <w:r w:rsidR="00BF21A9" w:rsidRPr="00712EFA">
        <w:rPr>
          <w:rFonts w:cs="Arial"/>
          <w:szCs w:val="20"/>
        </w:rPr>
        <w:t>Does M</w:t>
      </w:r>
      <w:r w:rsidRPr="00712EFA">
        <w:rPr>
          <w:rFonts w:cs="Arial"/>
          <w:szCs w:val="20"/>
        </w:rPr>
        <w:t>nDOT</w:t>
      </w:r>
      <w:r w:rsidR="00BF21A9" w:rsidRPr="00712EFA">
        <w:rPr>
          <w:rFonts w:cs="Arial"/>
          <w:szCs w:val="20"/>
        </w:rPr>
        <w:t xml:space="preserve"> retain RCRA liability for any hazardous waste?</w:t>
      </w:r>
    </w:p>
    <w:p w14:paraId="3D86EC4D" w14:textId="46438E1A" w:rsidR="00BF21A9" w:rsidRPr="00712EFA" w:rsidRDefault="00D705EF" w:rsidP="00A95427">
      <w:pPr>
        <w:pStyle w:val="ListParagraph"/>
        <w:numPr>
          <w:ilvl w:val="1"/>
          <w:numId w:val="4"/>
        </w:numPr>
        <w:jc w:val="both"/>
        <w:rPr>
          <w:rFonts w:cs="Arial"/>
          <w:szCs w:val="20"/>
        </w:rPr>
      </w:pPr>
      <w:r w:rsidRPr="00712EFA">
        <w:rPr>
          <w:rFonts w:cs="Arial"/>
          <w:szCs w:val="20"/>
        </w:rPr>
        <w:lastRenderedPageBreak/>
        <w:t xml:space="preserve">Answer: </w:t>
      </w:r>
      <w:r w:rsidR="00BF21A9" w:rsidRPr="00712EFA">
        <w:rPr>
          <w:rFonts w:cs="Arial"/>
          <w:szCs w:val="20"/>
        </w:rPr>
        <w:t>I'm not fully expert on RCRA, but yes</w:t>
      </w:r>
      <w:r w:rsidR="005203D7">
        <w:rPr>
          <w:rFonts w:cs="Arial"/>
          <w:szCs w:val="20"/>
        </w:rPr>
        <w:t>,</w:t>
      </w:r>
      <w:r w:rsidR="00BF21A9" w:rsidRPr="00712EFA">
        <w:rPr>
          <w:rFonts w:cs="Arial"/>
          <w:szCs w:val="20"/>
        </w:rPr>
        <w:t xml:space="preserve"> we try to remove hazardous wastes before the project whenever possible.  If not, we usually have a</w:t>
      </w:r>
      <w:r w:rsidR="00FD76AF">
        <w:rPr>
          <w:rFonts w:cs="Arial"/>
          <w:szCs w:val="20"/>
        </w:rPr>
        <w:t>n</w:t>
      </w:r>
      <w:r w:rsidR="00BF21A9" w:rsidRPr="00712EFA">
        <w:rPr>
          <w:rFonts w:cs="Arial"/>
          <w:szCs w:val="20"/>
        </w:rPr>
        <w:t xml:space="preserve"> independent consultant who disposes of the wastes once uncovered by the contractor.  I believe there are some specific wastes we would let the contractor dispose of themselves, but I'm not expert enough to clarify further</w:t>
      </w:r>
      <w:r w:rsidR="00EC7F1D">
        <w:rPr>
          <w:rFonts w:cs="Arial"/>
          <w:szCs w:val="20"/>
        </w:rPr>
        <w:t>.</w:t>
      </w:r>
    </w:p>
    <w:p w14:paraId="25054F67" w14:textId="77777777" w:rsidR="00BF21A9" w:rsidRPr="00712EFA" w:rsidRDefault="00BF21A9" w:rsidP="00A95427">
      <w:pPr>
        <w:pStyle w:val="ListParagraph"/>
        <w:ind w:left="1440"/>
        <w:jc w:val="both"/>
        <w:rPr>
          <w:rFonts w:cs="Arial"/>
          <w:szCs w:val="20"/>
        </w:rPr>
      </w:pPr>
    </w:p>
    <w:p w14:paraId="3BC11C97" w14:textId="50EAD1E3" w:rsidR="00BF21A9" w:rsidRPr="00712EFA" w:rsidRDefault="00BF21A9" w:rsidP="00A95427">
      <w:pPr>
        <w:pStyle w:val="ListParagraph"/>
        <w:numPr>
          <w:ilvl w:val="0"/>
          <w:numId w:val="4"/>
        </w:numPr>
        <w:jc w:val="both"/>
        <w:rPr>
          <w:rFonts w:cs="Arial"/>
          <w:szCs w:val="20"/>
        </w:rPr>
      </w:pPr>
      <w:r w:rsidRPr="00712EFA">
        <w:rPr>
          <w:rFonts w:cs="Arial"/>
          <w:szCs w:val="20"/>
        </w:rPr>
        <w:t>M</w:t>
      </w:r>
      <w:r w:rsidR="00A17069">
        <w:rPr>
          <w:rFonts w:cs="Arial"/>
          <w:szCs w:val="20"/>
        </w:rPr>
        <w:t>nDOT</w:t>
      </w:r>
      <w:r w:rsidRPr="00712EFA">
        <w:rPr>
          <w:rFonts w:cs="Arial"/>
          <w:szCs w:val="20"/>
        </w:rPr>
        <w:t xml:space="preserve"> General Point: There was an earlier question about dispute resolution boards.  I believe everyone uses those in some fashion: the key is setting them up on a project </w:t>
      </w:r>
      <w:r w:rsidR="00D44631" w:rsidRPr="00712EFA">
        <w:rPr>
          <w:rFonts w:cs="Arial"/>
          <w:szCs w:val="20"/>
        </w:rPr>
        <w:t>before</w:t>
      </w:r>
      <w:r w:rsidRPr="00712EFA">
        <w:rPr>
          <w:rFonts w:cs="Arial"/>
          <w:szCs w:val="20"/>
        </w:rPr>
        <w:t xml:space="preserve"> there is a problem and then using personnel (on both sides) that truly aren't involved with the project so that the conversation isn't "polluted" with opinions before it starts.</w:t>
      </w:r>
    </w:p>
    <w:p w14:paraId="41232E3C" w14:textId="77777777" w:rsidR="00BF21A9" w:rsidRPr="00712EFA" w:rsidRDefault="00BF21A9" w:rsidP="00A95427">
      <w:pPr>
        <w:pStyle w:val="ListParagraph"/>
        <w:jc w:val="both"/>
        <w:rPr>
          <w:rFonts w:cs="Arial"/>
          <w:szCs w:val="20"/>
        </w:rPr>
      </w:pPr>
    </w:p>
    <w:p w14:paraId="1F2881A1" w14:textId="2A01B163" w:rsidR="00BF21A9" w:rsidRPr="00712EFA" w:rsidRDefault="00BF21A9" w:rsidP="00A95427">
      <w:pPr>
        <w:pStyle w:val="ListParagraph"/>
        <w:numPr>
          <w:ilvl w:val="0"/>
          <w:numId w:val="4"/>
        </w:numPr>
        <w:jc w:val="both"/>
        <w:rPr>
          <w:rFonts w:cs="Arial"/>
          <w:szCs w:val="20"/>
        </w:rPr>
      </w:pPr>
      <w:r w:rsidRPr="00712EFA">
        <w:rPr>
          <w:rFonts w:cs="Arial"/>
          <w:szCs w:val="20"/>
        </w:rPr>
        <w:t>UDOT uses a DRB but it does</w:t>
      </w:r>
      <w:r w:rsidR="00BE4FA4">
        <w:rPr>
          <w:rFonts w:cs="Arial"/>
          <w:szCs w:val="20"/>
        </w:rPr>
        <w:t xml:space="preserve"> </w:t>
      </w:r>
      <w:r w:rsidRPr="00712EFA">
        <w:rPr>
          <w:rFonts w:cs="Arial"/>
          <w:szCs w:val="20"/>
        </w:rPr>
        <w:t>n</w:t>
      </w:r>
      <w:r w:rsidR="00BE4FA4">
        <w:rPr>
          <w:rFonts w:cs="Arial"/>
          <w:szCs w:val="20"/>
        </w:rPr>
        <w:t>o</w:t>
      </w:r>
      <w:r w:rsidRPr="00712EFA">
        <w:rPr>
          <w:rFonts w:cs="Arial"/>
          <w:szCs w:val="20"/>
        </w:rPr>
        <w:t>t come into play very often because the DRB is only implemented at the end of a 5 stage escalation ladder. The goal with the ladder</w:t>
      </w:r>
      <w:r w:rsidR="0031676B">
        <w:rPr>
          <w:rFonts w:cs="Arial"/>
          <w:szCs w:val="20"/>
        </w:rPr>
        <w:t xml:space="preserve"> is</w:t>
      </w:r>
      <w:r w:rsidRPr="00712EFA">
        <w:rPr>
          <w:rFonts w:cs="Arial"/>
          <w:szCs w:val="20"/>
        </w:rPr>
        <w:t xml:space="preserve"> to resolve disputes at the lowest level possible. UDOT used to use a DRB established at the beginning of a DB project</w:t>
      </w:r>
      <w:r w:rsidR="00D44631" w:rsidRPr="00712EFA">
        <w:rPr>
          <w:rFonts w:cs="Arial"/>
          <w:szCs w:val="20"/>
        </w:rPr>
        <w:t>,</w:t>
      </w:r>
      <w:r w:rsidRPr="00712EFA">
        <w:rPr>
          <w:rFonts w:cs="Arial"/>
          <w:szCs w:val="20"/>
        </w:rPr>
        <w:t xml:space="preserve"> but the escalation ladder approach has been a much more successful model.</w:t>
      </w:r>
    </w:p>
    <w:p w14:paraId="1D715076" w14:textId="1FCF0EEF" w:rsidR="00BF21A9" w:rsidRPr="00712EFA" w:rsidRDefault="00BF21A9" w:rsidP="00A95427">
      <w:pPr>
        <w:pStyle w:val="ListParagraph"/>
        <w:numPr>
          <w:ilvl w:val="1"/>
          <w:numId w:val="4"/>
        </w:numPr>
        <w:jc w:val="both"/>
        <w:rPr>
          <w:rFonts w:cs="Arial"/>
          <w:szCs w:val="20"/>
        </w:rPr>
      </w:pPr>
      <w:r w:rsidRPr="00712EFA">
        <w:rPr>
          <w:rFonts w:cs="Arial"/>
          <w:szCs w:val="20"/>
        </w:rPr>
        <w:t>M</w:t>
      </w:r>
      <w:r w:rsidR="00D705EF" w:rsidRPr="00712EFA">
        <w:rPr>
          <w:rFonts w:cs="Arial"/>
          <w:szCs w:val="20"/>
        </w:rPr>
        <w:t>nDOT</w:t>
      </w:r>
      <w:r w:rsidRPr="00712EFA">
        <w:rPr>
          <w:rFonts w:cs="Arial"/>
          <w:szCs w:val="20"/>
        </w:rPr>
        <w:t>: I agree</w:t>
      </w:r>
      <w:r w:rsidR="00D705EF" w:rsidRPr="00712EFA">
        <w:rPr>
          <w:rFonts w:cs="Arial"/>
          <w:szCs w:val="20"/>
        </w:rPr>
        <w:t>,</w:t>
      </w:r>
      <w:r w:rsidRPr="00712EFA">
        <w:rPr>
          <w:rFonts w:cs="Arial"/>
          <w:szCs w:val="20"/>
        </w:rPr>
        <w:t xml:space="preserve"> there should be processes in place to resolve issues before the DRB, certainly.</w:t>
      </w:r>
    </w:p>
    <w:sectPr w:rsidR="00BF21A9" w:rsidRPr="00712EF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128C4" w14:textId="77777777" w:rsidR="00214D92" w:rsidRDefault="00214D92" w:rsidP="008248E5">
      <w:pPr>
        <w:spacing w:after="0" w:line="240" w:lineRule="auto"/>
      </w:pPr>
      <w:r>
        <w:separator/>
      </w:r>
    </w:p>
  </w:endnote>
  <w:endnote w:type="continuationSeparator" w:id="0">
    <w:p w14:paraId="6472517E" w14:textId="77777777" w:rsidR="00214D92" w:rsidRDefault="00214D92" w:rsidP="008248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9084097"/>
      <w:docPartObj>
        <w:docPartGallery w:val="Page Numbers (Bottom of Page)"/>
        <w:docPartUnique/>
      </w:docPartObj>
    </w:sdtPr>
    <w:sdtEndPr>
      <w:rPr>
        <w:noProof/>
      </w:rPr>
    </w:sdtEndPr>
    <w:sdtContent>
      <w:p w14:paraId="288BBB5F" w14:textId="77CCFAFC" w:rsidR="008248E5" w:rsidRDefault="008248E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203BCD6" w14:textId="77777777" w:rsidR="008248E5" w:rsidRDefault="008248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9A217" w14:textId="77777777" w:rsidR="00214D92" w:rsidRDefault="00214D92" w:rsidP="008248E5">
      <w:pPr>
        <w:spacing w:after="0" w:line="240" w:lineRule="auto"/>
      </w:pPr>
      <w:r>
        <w:separator/>
      </w:r>
    </w:p>
  </w:footnote>
  <w:footnote w:type="continuationSeparator" w:id="0">
    <w:p w14:paraId="2AC1DD86" w14:textId="77777777" w:rsidR="00214D92" w:rsidRDefault="00214D92" w:rsidP="008248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C01C3"/>
    <w:multiLevelType w:val="hybridMultilevel"/>
    <w:tmpl w:val="6F1AB0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895BD8"/>
    <w:multiLevelType w:val="hybridMultilevel"/>
    <w:tmpl w:val="7930B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E6684A"/>
    <w:multiLevelType w:val="hybridMultilevel"/>
    <w:tmpl w:val="0838C9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88061D9"/>
    <w:multiLevelType w:val="hybridMultilevel"/>
    <w:tmpl w:val="EDEE58B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374EFC"/>
    <w:multiLevelType w:val="hybridMultilevel"/>
    <w:tmpl w:val="DA1A9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8712CB"/>
    <w:multiLevelType w:val="hybridMultilevel"/>
    <w:tmpl w:val="45AE7B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F335E2"/>
    <w:multiLevelType w:val="hybridMultilevel"/>
    <w:tmpl w:val="A546E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834B01"/>
    <w:multiLevelType w:val="hybridMultilevel"/>
    <w:tmpl w:val="BF92BE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D41A96"/>
    <w:multiLevelType w:val="hybridMultilevel"/>
    <w:tmpl w:val="63BC9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9C57AE"/>
    <w:multiLevelType w:val="hybridMultilevel"/>
    <w:tmpl w:val="EE54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AF46A0"/>
    <w:multiLevelType w:val="hybridMultilevel"/>
    <w:tmpl w:val="43BC0C46"/>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11" w15:restartNumberingAfterBreak="0">
    <w:nsid w:val="6A0765D4"/>
    <w:multiLevelType w:val="hybridMultilevel"/>
    <w:tmpl w:val="C00AE2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8C1187"/>
    <w:multiLevelType w:val="hybridMultilevel"/>
    <w:tmpl w:val="490E306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01747239">
    <w:abstractNumId w:val="5"/>
  </w:num>
  <w:num w:numId="2" w16cid:durableId="2069066380">
    <w:abstractNumId w:val="12"/>
  </w:num>
  <w:num w:numId="3" w16cid:durableId="1894348039">
    <w:abstractNumId w:val="3"/>
  </w:num>
  <w:num w:numId="4" w16cid:durableId="284117369">
    <w:abstractNumId w:val="7"/>
  </w:num>
  <w:num w:numId="5" w16cid:durableId="2136680267">
    <w:abstractNumId w:val="4"/>
  </w:num>
  <w:num w:numId="6" w16cid:durableId="2007589602">
    <w:abstractNumId w:val="1"/>
  </w:num>
  <w:num w:numId="7" w16cid:durableId="1557471233">
    <w:abstractNumId w:val="8"/>
  </w:num>
  <w:num w:numId="8" w16cid:durableId="466702813">
    <w:abstractNumId w:val="10"/>
  </w:num>
  <w:num w:numId="9" w16cid:durableId="2142260627">
    <w:abstractNumId w:val="9"/>
  </w:num>
  <w:num w:numId="10" w16cid:durableId="1507742235">
    <w:abstractNumId w:val="0"/>
  </w:num>
  <w:num w:numId="11" w16cid:durableId="190731720">
    <w:abstractNumId w:val="6"/>
  </w:num>
  <w:num w:numId="12" w16cid:durableId="519702202">
    <w:abstractNumId w:val="11"/>
  </w:num>
  <w:num w:numId="13" w16cid:durableId="7076092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FC9"/>
    <w:rsid w:val="00001CA4"/>
    <w:rsid w:val="000100F5"/>
    <w:rsid w:val="00010366"/>
    <w:rsid w:val="0001679A"/>
    <w:rsid w:val="00053570"/>
    <w:rsid w:val="0008009D"/>
    <w:rsid w:val="00087076"/>
    <w:rsid w:val="00094ABB"/>
    <w:rsid w:val="000B0DA2"/>
    <w:rsid w:val="000B4077"/>
    <w:rsid w:val="000C560A"/>
    <w:rsid w:val="000C5D9F"/>
    <w:rsid w:val="000C758B"/>
    <w:rsid w:val="000D7687"/>
    <w:rsid w:val="000F5648"/>
    <w:rsid w:val="000F62C4"/>
    <w:rsid w:val="001078AF"/>
    <w:rsid w:val="00130355"/>
    <w:rsid w:val="00134B07"/>
    <w:rsid w:val="00161CBB"/>
    <w:rsid w:val="00185876"/>
    <w:rsid w:val="00195A49"/>
    <w:rsid w:val="001A4BE6"/>
    <w:rsid w:val="001A4DF2"/>
    <w:rsid w:val="001A665D"/>
    <w:rsid w:val="001B65D1"/>
    <w:rsid w:val="001C5FF5"/>
    <w:rsid w:val="001C7597"/>
    <w:rsid w:val="001E502E"/>
    <w:rsid w:val="00204944"/>
    <w:rsid w:val="002070F0"/>
    <w:rsid w:val="0021209D"/>
    <w:rsid w:val="00214D92"/>
    <w:rsid w:val="00216DB1"/>
    <w:rsid w:val="002545D0"/>
    <w:rsid w:val="002566FF"/>
    <w:rsid w:val="00263934"/>
    <w:rsid w:val="00273427"/>
    <w:rsid w:val="00273F67"/>
    <w:rsid w:val="0029239D"/>
    <w:rsid w:val="00295C79"/>
    <w:rsid w:val="002A5729"/>
    <w:rsid w:val="002B64BE"/>
    <w:rsid w:val="002C76BD"/>
    <w:rsid w:val="002D108C"/>
    <w:rsid w:val="002F1B42"/>
    <w:rsid w:val="002F2C70"/>
    <w:rsid w:val="003024E3"/>
    <w:rsid w:val="00305186"/>
    <w:rsid w:val="00311EF9"/>
    <w:rsid w:val="0031676B"/>
    <w:rsid w:val="00320844"/>
    <w:rsid w:val="0035204A"/>
    <w:rsid w:val="003522F4"/>
    <w:rsid w:val="00352CCA"/>
    <w:rsid w:val="003639A1"/>
    <w:rsid w:val="00363B6C"/>
    <w:rsid w:val="00370EFD"/>
    <w:rsid w:val="00375066"/>
    <w:rsid w:val="003B17E7"/>
    <w:rsid w:val="003B1E1A"/>
    <w:rsid w:val="003E2AF4"/>
    <w:rsid w:val="003E2D5E"/>
    <w:rsid w:val="00405077"/>
    <w:rsid w:val="004230E4"/>
    <w:rsid w:val="00453CE6"/>
    <w:rsid w:val="004711F7"/>
    <w:rsid w:val="00471CC5"/>
    <w:rsid w:val="0047259A"/>
    <w:rsid w:val="00491901"/>
    <w:rsid w:val="004957CF"/>
    <w:rsid w:val="004B5AEA"/>
    <w:rsid w:val="004D44EC"/>
    <w:rsid w:val="004E422A"/>
    <w:rsid w:val="004E5BA6"/>
    <w:rsid w:val="004E6CDC"/>
    <w:rsid w:val="00506B55"/>
    <w:rsid w:val="005203D7"/>
    <w:rsid w:val="005334A2"/>
    <w:rsid w:val="00540B6E"/>
    <w:rsid w:val="00542DDC"/>
    <w:rsid w:val="00556013"/>
    <w:rsid w:val="0056047A"/>
    <w:rsid w:val="00563DB2"/>
    <w:rsid w:val="005657B4"/>
    <w:rsid w:val="00570829"/>
    <w:rsid w:val="00577265"/>
    <w:rsid w:val="00583A39"/>
    <w:rsid w:val="00587DF5"/>
    <w:rsid w:val="005A0B3A"/>
    <w:rsid w:val="005A23E2"/>
    <w:rsid w:val="005A24F9"/>
    <w:rsid w:val="005A2C1B"/>
    <w:rsid w:val="005A4435"/>
    <w:rsid w:val="005B3782"/>
    <w:rsid w:val="0060407F"/>
    <w:rsid w:val="00605FF2"/>
    <w:rsid w:val="006108AD"/>
    <w:rsid w:val="0061559B"/>
    <w:rsid w:val="006406AF"/>
    <w:rsid w:val="0064268C"/>
    <w:rsid w:val="006571E7"/>
    <w:rsid w:val="00657B2D"/>
    <w:rsid w:val="0066097C"/>
    <w:rsid w:val="00664C5F"/>
    <w:rsid w:val="00667B55"/>
    <w:rsid w:val="00691587"/>
    <w:rsid w:val="006B3E58"/>
    <w:rsid w:val="006B7580"/>
    <w:rsid w:val="006F0296"/>
    <w:rsid w:val="00712EFA"/>
    <w:rsid w:val="00723A2B"/>
    <w:rsid w:val="007326A5"/>
    <w:rsid w:val="007A0B33"/>
    <w:rsid w:val="007B0A1C"/>
    <w:rsid w:val="007C6C9E"/>
    <w:rsid w:val="007F1F0A"/>
    <w:rsid w:val="0081437B"/>
    <w:rsid w:val="0082354D"/>
    <w:rsid w:val="008248E5"/>
    <w:rsid w:val="00826B98"/>
    <w:rsid w:val="008521C8"/>
    <w:rsid w:val="00876057"/>
    <w:rsid w:val="00893141"/>
    <w:rsid w:val="00897E72"/>
    <w:rsid w:val="008F3AD1"/>
    <w:rsid w:val="00917002"/>
    <w:rsid w:val="009217C1"/>
    <w:rsid w:val="00924FA0"/>
    <w:rsid w:val="00944FC9"/>
    <w:rsid w:val="00945A85"/>
    <w:rsid w:val="00967C8B"/>
    <w:rsid w:val="00974AF7"/>
    <w:rsid w:val="009B648B"/>
    <w:rsid w:val="009C6502"/>
    <w:rsid w:val="009C728F"/>
    <w:rsid w:val="009D52A1"/>
    <w:rsid w:val="009D638E"/>
    <w:rsid w:val="009E6AEE"/>
    <w:rsid w:val="009E7DDD"/>
    <w:rsid w:val="009F6E53"/>
    <w:rsid w:val="00A17069"/>
    <w:rsid w:val="00A2347A"/>
    <w:rsid w:val="00A24A55"/>
    <w:rsid w:val="00A25734"/>
    <w:rsid w:val="00A27591"/>
    <w:rsid w:val="00A46909"/>
    <w:rsid w:val="00A469C1"/>
    <w:rsid w:val="00A504C3"/>
    <w:rsid w:val="00A73F50"/>
    <w:rsid w:val="00A7519D"/>
    <w:rsid w:val="00A81BC7"/>
    <w:rsid w:val="00A94038"/>
    <w:rsid w:val="00A95427"/>
    <w:rsid w:val="00A9702D"/>
    <w:rsid w:val="00AB6278"/>
    <w:rsid w:val="00AC029B"/>
    <w:rsid w:val="00AC17A8"/>
    <w:rsid w:val="00AC34A9"/>
    <w:rsid w:val="00AD0849"/>
    <w:rsid w:val="00AE5EB0"/>
    <w:rsid w:val="00AE6216"/>
    <w:rsid w:val="00AF589E"/>
    <w:rsid w:val="00B02F72"/>
    <w:rsid w:val="00B13120"/>
    <w:rsid w:val="00B346B7"/>
    <w:rsid w:val="00B355F0"/>
    <w:rsid w:val="00B4454C"/>
    <w:rsid w:val="00B47900"/>
    <w:rsid w:val="00B50C61"/>
    <w:rsid w:val="00B64AA4"/>
    <w:rsid w:val="00B70E8F"/>
    <w:rsid w:val="00B94628"/>
    <w:rsid w:val="00BA36D9"/>
    <w:rsid w:val="00BC1790"/>
    <w:rsid w:val="00BD12A6"/>
    <w:rsid w:val="00BD346D"/>
    <w:rsid w:val="00BE2801"/>
    <w:rsid w:val="00BE4FA4"/>
    <w:rsid w:val="00BE62E7"/>
    <w:rsid w:val="00BF21A9"/>
    <w:rsid w:val="00BF543F"/>
    <w:rsid w:val="00BF76B5"/>
    <w:rsid w:val="00C000C1"/>
    <w:rsid w:val="00C01C60"/>
    <w:rsid w:val="00C01F0F"/>
    <w:rsid w:val="00C04223"/>
    <w:rsid w:val="00C12753"/>
    <w:rsid w:val="00C1764C"/>
    <w:rsid w:val="00C25752"/>
    <w:rsid w:val="00C33CAD"/>
    <w:rsid w:val="00C5692C"/>
    <w:rsid w:val="00C72867"/>
    <w:rsid w:val="00C95155"/>
    <w:rsid w:val="00CA63BF"/>
    <w:rsid w:val="00CC588B"/>
    <w:rsid w:val="00CD4278"/>
    <w:rsid w:val="00CF2761"/>
    <w:rsid w:val="00CF4362"/>
    <w:rsid w:val="00CF44C5"/>
    <w:rsid w:val="00D02FE6"/>
    <w:rsid w:val="00D15638"/>
    <w:rsid w:val="00D41FD1"/>
    <w:rsid w:val="00D42329"/>
    <w:rsid w:val="00D426F7"/>
    <w:rsid w:val="00D44631"/>
    <w:rsid w:val="00D4469A"/>
    <w:rsid w:val="00D503A8"/>
    <w:rsid w:val="00D705EF"/>
    <w:rsid w:val="00D97850"/>
    <w:rsid w:val="00DA1CDA"/>
    <w:rsid w:val="00DA497F"/>
    <w:rsid w:val="00DA5A50"/>
    <w:rsid w:val="00DB0840"/>
    <w:rsid w:val="00DD6516"/>
    <w:rsid w:val="00DE4FED"/>
    <w:rsid w:val="00DE7009"/>
    <w:rsid w:val="00DF6044"/>
    <w:rsid w:val="00DF6873"/>
    <w:rsid w:val="00E1374B"/>
    <w:rsid w:val="00E26860"/>
    <w:rsid w:val="00E41682"/>
    <w:rsid w:val="00E424C6"/>
    <w:rsid w:val="00E460DE"/>
    <w:rsid w:val="00E87505"/>
    <w:rsid w:val="00EA2D7E"/>
    <w:rsid w:val="00EC7F1D"/>
    <w:rsid w:val="00F01E65"/>
    <w:rsid w:val="00F07FC9"/>
    <w:rsid w:val="00F25797"/>
    <w:rsid w:val="00F31094"/>
    <w:rsid w:val="00F404DD"/>
    <w:rsid w:val="00F47A26"/>
    <w:rsid w:val="00F63630"/>
    <w:rsid w:val="00F709C0"/>
    <w:rsid w:val="00F84E67"/>
    <w:rsid w:val="00FA1116"/>
    <w:rsid w:val="00FA4517"/>
    <w:rsid w:val="00FA52FC"/>
    <w:rsid w:val="00FA6AE5"/>
    <w:rsid w:val="00FB5A57"/>
    <w:rsid w:val="00FC10B3"/>
    <w:rsid w:val="00FD76AF"/>
    <w:rsid w:val="00FE668B"/>
    <w:rsid w:val="00FF6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312E2"/>
  <w15:chartTrackingRefBased/>
  <w15:docId w15:val="{E3444B54-2C68-40E3-A82F-B1A3C0085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6DB1"/>
  </w:style>
  <w:style w:type="paragraph" w:styleId="Heading1">
    <w:name w:val="heading 1"/>
    <w:basedOn w:val="Normal"/>
    <w:next w:val="Normal"/>
    <w:link w:val="Heading1Char"/>
    <w:uiPriority w:val="9"/>
    <w:qFormat/>
    <w:rsid w:val="00C95155"/>
    <w:pPr>
      <w:keepNext/>
      <w:keepLines/>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95155"/>
    <w:pPr>
      <w:keepNext/>
      <w:keepLines/>
      <w:spacing w:before="40" w:after="0"/>
      <w:outlineLvl w:val="1"/>
    </w:pPr>
    <w:rPr>
      <w:rFonts w:eastAsiaTheme="majorEastAsia"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5155"/>
    <w:rPr>
      <w:rFonts w:eastAsiaTheme="majorEastAsia"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C95155"/>
    <w:rPr>
      <w:rFonts w:eastAsiaTheme="majorEastAsia" w:cstheme="majorBidi"/>
      <w:color w:val="2F5496" w:themeColor="accent1" w:themeShade="BF"/>
      <w:sz w:val="26"/>
      <w:szCs w:val="26"/>
    </w:rPr>
  </w:style>
  <w:style w:type="paragraph" w:styleId="ListParagraph">
    <w:name w:val="List Paragraph"/>
    <w:basedOn w:val="Normal"/>
    <w:uiPriority w:val="34"/>
    <w:qFormat/>
    <w:rsid w:val="009E6AEE"/>
    <w:pPr>
      <w:ind w:left="720"/>
      <w:contextualSpacing/>
    </w:pPr>
  </w:style>
  <w:style w:type="paragraph" w:styleId="Header">
    <w:name w:val="header"/>
    <w:basedOn w:val="Normal"/>
    <w:link w:val="HeaderChar"/>
    <w:uiPriority w:val="99"/>
    <w:unhideWhenUsed/>
    <w:rsid w:val="008248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48E5"/>
  </w:style>
  <w:style w:type="paragraph" w:styleId="Footer">
    <w:name w:val="footer"/>
    <w:basedOn w:val="Normal"/>
    <w:link w:val="FooterChar"/>
    <w:uiPriority w:val="99"/>
    <w:unhideWhenUsed/>
    <w:rsid w:val="008248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48E5"/>
  </w:style>
  <w:style w:type="character" w:styleId="CommentReference">
    <w:name w:val="annotation reference"/>
    <w:basedOn w:val="DefaultParagraphFont"/>
    <w:uiPriority w:val="99"/>
    <w:semiHidden/>
    <w:unhideWhenUsed/>
    <w:rsid w:val="00E424C6"/>
    <w:rPr>
      <w:sz w:val="16"/>
      <w:szCs w:val="16"/>
    </w:rPr>
  </w:style>
  <w:style w:type="paragraph" w:styleId="CommentText">
    <w:name w:val="annotation text"/>
    <w:basedOn w:val="Normal"/>
    <w:link w:val="CommentTextChar"/>
    <w:uiPriority w:val="99"/>
    <w:semiHidden/>
    <w:unhideWhenUsed/>
    <w:rsid w:val="00E424C6"/>
    <w:pPr>
      <w:spacing w:line="240" w:lineRule="auto"/>
    </w:pPr>
    <w:rPr>
      <w:szCs w:val="20"/>
    </w:rPr>
  </w:style>
  <w:style w:type="character" w:customStyle="1" w:styleId="CommentTextChar">
    <w:name w:val="Comment Text Char"/>
    <w:basedOn w:val="DefaultParagraphFont"/>
    <w:link w:val="CommentText"/>
    <w:uiPriority w:val="99"/>
    <w:semiHidden/>
    <w:rsid w:val="00E424C6"/>
    <w:rPr>
      <w:szCs w:val="20"/>
    </w:rPr>
  </w:style>
  <w:style w:type="paragraph" w:styleId="CommentSubject">
    <w:name w:val="annotation subject"/>
    <w:basedOn w:val="CommentText"/>
    <w:next w:val="CommentText"/>
    <w:link w:val="CommentSubjectChar"/>
    <w:uiPriority w:val="99"/>
    <w:semiHidden/>
    <w:unhideWhenUsed/>
    <w:rsid w:val="00E424C6"/>
    <w:rPr>
      <w:b/>
      <w:bCs/>
    </w:rPr>
  </w:style>
  <w:style w:type="character" w:customStyle="1" w:styleId="CommentSubjectChar">
    <w:name w:val="Comment Subject Char"/>
    <w:basedOn w:val="CommentTextChar"/>
    <w:link w:val="CommentSubject"/>
    <w:uiPriority w:val="99"/>
    <w:semiHidden/>
    <w:rsid w:val="00E424C6"/>
    <w:rPr>
      <w:b/>
      <w:bCs/>
      <w:szCs w:val="20"/>
    </w:rPr>
  </w:style>
  <w:style w:type="character" w:styleId="Hyperlink">
    <w:name w:val="Hyperlink"/>
    <w:basedOn w:val="DefaultParagraphFont"/>
    <w:uiPriority w:val="99"/>
    <w:unhideWhenUsed/>
    <w:rsid w:val="009217C1"/>
    <w:rPr>
      <w:color w:val="0563C1" w:themeColor="hyperlink"/>
      <w:u w:val="single"/>
    </w:rPr>
  </w:style>
  <w:style w:type="character" w:styleId="UnresolvedMention">
    <w:name w:val="Unresolved Mention"/>
    <w:basedOn w:val="DefaultParagraphFont"/>
    <w:uiPriority w:val="99"/>
    <w:semiHidden/>
    <w:unhideWhenUsed/>
    <w:rsid w:val="009217C1"/>
    <w:rPr>
      <w:color w:val="605E5C"/>
      <w:shd w:val="clear" w:color="auto" w:fill="E1DFDD"/>
    </w:rPr>
  </w:style>
  <w:style w:type="paragraph" w:styleId="Revision">
    <w:name w:val="Revision"/>
    <w:hidden/>
    <w:uiPriority w:val="99"/>
    <w:semiHidden/>
    <w:rsid w:val="00A9542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693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2705</Words>
  <Characters>15424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Foley, Michael W.</dc:creator>
  <cp:keywords/>
  <dc:description/>
  <cp:lastModifiedBy>Amber Garnett</cp:lastModifiedBy>
  <cp:revision>2</cp:revision>
  <dcterms:created xsi:type="dcterms:W3CDTF">2022-07-08T18:53:00Z</dcterms:created>
  <dcterms:modified xsi:type="dcterms:W3CDTF">2022-07-08T18:53:00Z</dcterms:modified>
</cp:coreProperties>
</file>